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9"/>
        <w:spacing w:before="80" w:after="0"/>
        <w:rPr>
          <w:rFonts w:ascii="黑体" w:hAnsi="黑体" w:eastAsia="黑体"/>
          <w:sz w:val="28"/>
          <w:szCs w:val="28"/>
          <w:lang w:eastAsia="zh-CN"/>
        </w:rPr>
      </w:pPr>
      <w:r>
        <w:rPr>
          <w:rFonts w:hint="eastAsia" w:ascii="黑体" w:hAnsi="黑体" w:eastAsia="黑体"/>
          <w:sz w:val="28"/>
          <w:szCs w:val="28"/>
          <w:lang w:eastAsia="zh-CN"/>
        </w:rPr>
        <w:t>中国人民财产保险股份有限公司</w:t>
      </w:r>
    </w:p>
    <w:p>
      <w:pPr>
        <w:pStyle w:val="9"/>
        <w:tabs>
          <w:tab w:val="left" w:pos="5230"/>
        </w:tabs>
        <w:spacing w:before="0" w:after="280"/>
        <w:rPr>
          <w:sz w:val="28"/>
          <w:szCs w:val="28"/>
          <w:lang w:eastAsia="zh-CN"/>
        </w:rPr>
      </w:pPr>
      <w:r>
        <w:rPr>
          <w:rFonts w:ascii="黑体" w:hAnsi="黑体" w:eastAsia="黑体"/>
          <w:color w:val="FF0000"/>
          <w:sz w:val="28"/>
          <w:szCs w:val="28"/>
        </w:rPr>
        <w:t>商用</w:t>
      </w:r>
      <w:r>
        <w:rPr>
          <w:rFonts w:ascii="黑体" w:hAnsi="黑体" w:eastAsia="黑体"/>
          <w:sz w:val="28"/>
          <w:szCs w:val="28"/>
        </w:rPr>
        <w:t>燃气综合保险保险单</w:t>
      </w:r>
      <w:r>
        <w:rPr>
          <w:rFonts w:hint="eastAsia" w:ascii="黑体" w:hAnsi="黑体" w:eastAsia="黑体"/>
          <w:sz w:val="28"/>
          <w:szCs w:val="28"/>
          <w:lang w:eastAsia="zh-CN"/>
        </w:rPr>
        <w:t>（个体</w:t>
      </w:r>
      <w:r>
        <w:rPr>
          <w:rFonts w:ascii="黑体" w:hAnsi="黑体" w:eastAsia="黑体"/>
          <w:sz w:val="28"/>
          <w:szCs w:val="28"/>
          <w:lang w:eastAsia="zh-CN"/>
        </w:rPr>
        <w:t>工商户投保</w:t>
      </w:r>
      <w:r>
        <w:rPr>
          <w:rFonts w:hint="eastAsia" w:ascii="黑体" w:hAnsi="黑体" w:eastAsia="黑体"/>
          <w:sz w:val="28"/>
          <w:szCs w:val="28"/>
          <w:lang w:eastAsia="zh-CN"/>
        </w:rPr>
        <w:t>）</w:t>
      </w:r>
    </w:p>
    <w:p>
      <w:pPr>
        <w:pStyle w:val="11"/>
        <w:spacing w:line="240" w:lineRule="auto"/>
        <w:ind w:firstLine="0"/>
        <w:jc w:val="right"/>
        <w:rPr>
          <w:rFonts w:hint="default" w:ascii="黑体" w:hAnsi="黑体" w:eastAsia="黑体"/>
          <w:lang w:val="en-US" w:eastAsia="zh-CN"/>
        </w:rPr>
      </w:pPr>
      <w:r>
        <w:rPr>
          <w:rFonts w:hint="eastAsia" w:ascii="黑体" w:hAnsi="黑体" w:eastAsia="黑体"/>
          <w:lang w:eastAsia="zh-CN"/>
        </w:rPr>
        <w:t>保险单号</w:t>
      </w:r>
      <w:r>
        <w:rPr>
          <w:rFonts w:ascii="黑体" w:hAnsi="黑体" w:eastAsia="黑体"/>
        </w:rPr>
        <w:t>：</w:t>
      </w:r>
      <w:r>
        <w:rPr>
          <w:rFonts w:hint="eastAsia" w:ascii="黑体" w:hAnsi="黑体" w:eastAsia="黑体"/>
          <w:lang w:val="en-US" w:eastAsia="zh-CN" w:bidi="en-US"/>
        </w:rPr>
        <w:t>{policyNo}</w:t>
      </w:r>
      <w:r>
        <w:rPr>
          <w:rFonts w:ascii="黑体" w:hAnsi="黑体" w:eastAsia="黑体"/>
          <w:lang w:val="en-US" w:eastAsia="zh-CN" w:bidi="en-US"/>
        </w:rPr>
        <w:t>/</w:t>
      </w:r>
      <w:r>
        <w:rPr>
          <w:rFonts w:hint="eastAsia" w:ascii="黑体" w:hAnsi="黑体" w:eastAsia="黑体"/>
          <w:color w:val="FF0000"/>
          <w:highlight w:val="yellow"/>
          <w:lang w:val="en-US" w:eastAsia="zh-CN" w:bidi="en-US"/>
        </w:rPr>
        <w:t>{policyNo2}</w:t>
      </w: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320"/>
        <w:jc w:val="both"/>
        <w:rPr>
          <w:rFonts w:ascii="黑体" w:hAnsi="黑体" w:eastAsia="黑体"/>
          <w:sz w:val="18"/>
          <w:szCs w:val="18"/>
          <w:lang w:eastAsia="zh-CN"/>
        </w:rPr>
      </w:pPr>
      <w:r>
        <w:rPr>
          <w:rFonts w:ascii="黑体" w:hAnsi="黑体" w:eastAsia="黑体"/>
          <w:sz w:val="18"/>
          <w:szCs w:val="18"/>
        </w:rPr>
        <w:t>鉴于本保险单中列明的投保人向</w:t>
      </w:r>
      <w:r>
        <w:rPr>
          <w:rFonts w:hint="eastAsia" w:ascii="黑体" w:hAnsi="黑体" w:eastAsia="黑体"/>
          <w:sz w:val="18"/>
          <w:szCs w:val="18"/>
        </w:rPr>
        <w:t>中国人民财产保险股份有限公司</w:t>
      </w:r>
      <w:r>
        <w:rPr>
          <w:rFonts w:ascii="黑体" w:hAnsi="黑体" w:eastAsia="黑体"/>
          <w:sz w:val="18"/>
          <w:szCs w:val="18"/>
        </w:rPr>
        <w:t>（以下简称</w:t>
      </w:r>
      <w:r>
        <w:rPr>
          <w:rFonts w:ascii="黑体" w:hAnsi="黑体" w:eastAsia="黑体"/>
          <w:sz w:val="18"/>
          <w:szCs w:val="18"/>
          <w:lang w:val="zh-CN" w:eastAsia="zh-CN" w:bidi="zh-CN"/>
        </w:rPr>
        <w:t>“保</w:t>
      </w:r>
      <w:r>
        <w:rPr>
          <w:rFonts w:ascii="黑体" w:hAnsi="黑体" w:eastAsia="黑体"/>
          <w:sz w:val="18"/>
          <w:szCs w:val="18"/>
        </w:rPr>
        <w:t>险人”）提交了书面投保申请和有关资料（该投保申请及资料均被视作本保险单的有效组成部分），保险人同意按本保险单的约定予以承保，并特立本保险单为凭。除合同另有约定外，投保人应于约定的缴费日期一次性缴清保险费。投保人若未按约定足额交纳保险费，保险人对其实际足额支付之日前发生的保险事故，不承担相应的保险责任。本保险合同内容主要包括保险条款的记载内容：总则、责任范围、除外责任、保险期限、赔偿处理、投保人、 被保险人义务、特别条款等。本保险合同还包括投保单及其附件、保险单，以及保险人今后以批单方式増加或调整的内容。本保险合同自保险人同意承保之日起成立并生效。</w:t>
      </w:r>
    </w:p>
    <w:tbl>
      <w:tblPr>
        <w:tblStyle w:val="5"/>
        <w:tblW w:w="9535" w:type="dxa"/>
        <w:jc w:val="center"/>
        <w:tblLayout w:type="fixed"/>
        <w:tblCellMar>
          <w:top w:w="0" w:type="dxa"/>
          <w:left w:w="51" w:type="dxa"/>
          <w:bottom w:w="0" w:type="dxa"/>
          <w:right w:w="51" w:type="dxa"/>
        </w:tblCellMar>
      </w:tblPr>
      <w:tblGrid>
        <w:gridCol w:w="1492"/>
        <w:gridCol w:w="1060"/>
        <w:gridCol w:w="471"/>
        <w:gridCol w:w="1443"/>
        <w:gridCol w:w="1444"/>
        <w:gridCol w:w="832"/>
        <w:gridCol w:w="831"/>
        <w:gridCol w:w="1962"/>
      </w:tblGrid>
      <w:tr>
        <w:tblPrEx>
          <w:tblCellMar>
            <w:top w:w="0" w:type="dxa"/>
            <w:left w:w="51" w:type="dxa"/>
            <w:bottom w:w="0" w:type="dxa"/>
            <w:right w:w="51" w:type="dxa"/>
          </w:tblCellMar>
        </w:tblPrEx>
        <w:trPr>
          <w:trHeight w:val="260" w:hRule="exact"/>
          <w:jc w:val="center"/>
        </w:trPr>
        <w:tc>
          <w:tcPr>
            <w:tcW w:w="1492" w:type="dxa"/>
            <w:vMerge w:val="restart"/>
            <w:tcBorders>
              <w:top w:val="single" w:color="auto" w:sz="4" w:space="0"/>
              <w:left w:val="single" w:color="auto" w:sz="4" w:space="0"/>
            </w:tcBorders>
            <w:shd w:val="clear" w:color="auto" w:fill="FFFFFF"/>
            <w:vAlign w:val="center"/>
          </w:tcPr>
          <w:p>
            <w:pPr>
              <w:pStyle w:val="13"/>
              <w:adjustRightInd w:val="0"/>
              <w:snapToGrid w:val="0"/>
              <w:spacing w:after="120" w:afterLines="50" w:line="276" w:lineRule="auto"/>
              <w:ind w:firstLine="0"/>
              <w:jc w:val="center"/>
              <w:rPr>
                <w:rFonts w:ascii="黑体" w:hAnsi="黑体" w:eastAsia="黑体"/>
                <w:sz w:val="18"/>
                <w:szCs w:val="18"/>
              </w:rPr>
            </w:pPr>
            <w:r>
              <w:rPr>
                <w:rFonts w:ascii="黑体" w:hAnsi="黑体" w:eastAsia="黑体"/>
                <w:sz w:val="18"/>
                <w:szCs w:val="18"/>
              </w:rPr>
              <w:t>投保人</w:t>
            </w:r>
          </w:p>
        </w:tc>
        <w:tc>
          <w:tcPr>
            <w:tcW w:w="153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3"/>
              <w:tabs>
                <w:tab w:val="left" w:pos="1420"/>
              </w:tabs>
              <w:adjustRightInd w:val="0"/>
              <w:snapToGrid w:val="0"/>
              <w:spacing w:line="276" w:lineRule="auto"/>
              <w:ind w:firstLine="0"/>
              <w:jc w:val="center"/>
              <w:rPr>
                <w:sz w:val="18"/>
                <w:szCs w:val="18"/>
              </w:rPr>
            </w:pPr>
            <w:r>
              <w:rPr>
                <w:rFonts w:hint="eastAsia"/>
                <w:sz w:val="18"/>
                <w:szCs w:val="18"/>
              </w:rPr>
              <w:t>姓名</w:t>
            </w:r>
          </w:p>
        </w:tc>
        <w:tc>
          <w:tcPr>
            <w:tcW w:w="28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3"/>
              <w:tabs>
                <w:tab w:val="left" w:pos="1420"/>
              </w:tabs>
              <w:adjustRightInd w:val="0"/>
              <w:snapToGrid w:val="0"/>
              <w:spacing w:line="276" w:lineRule="auto"/>
              <w:ind w:firstLine="0"/>
              <w:jc w:val="center"/>
              <w:rPr>
                <w:rFonts w:hint="default" w:eastAsia="宋体"/>
                <w:sz w:val="18"/>
                <w:szCs w:val="18"/>
                <w:lang w:val="en-US" w:eastAsia="zh-CN"/>
              </w:rPr>
            </w:pPr>
            <w:r>
              <w:rPr>
                <w:rFonts w:hint="eastAsia"/>
                <w:sz w:val="18"/>
                <w:szCs w:val="18"/>
                <w:lang w:val="en-US" w:eastAsia="zh-CN"/>
              </w:rPr>
              <w:t>{appliName}</w:t>
            </w:r>
          </w:p>
        </w:tc>
        <w:tc>
          <w:tcPr>
            <w:tcW w:w="166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sz w:val="18"/>
                <w:szCs w:val="18"/>
              </w:rPr>
            </w:pPr>
            <w:r>
              <w:rPr>
                <w:rFonts w:hint="eastAsia"/>
                <w:sz w:val="18"/>
                <w:szCs w:val="18"/>
              </w:rPr>
              <w:t>联系电话</w:t>
            </w:r>
          </w:p>
        </w:tc>
        <w:tc>
          <w:tcPr>
            <w:tcW w:w="1962"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3"/>
              <w:adjustRightInd w:val="0"/>
              <w:snapToGrid w:val="0"/>
              <w:spacing w:line="240" w:lineRule="auto"/>
              <w:ind w:firstLine="0"/>
              <w:jc w:val="center"/>
              <w:rPr>
                <w:rFonts w:hint="default" w:eastAsia="宋体"/>
                <w:sz w:val="18"/>
                <w:szCs w:val="18"/>
                <w:lang w:val="en-US" w:eastAsia="zh-CN"/>
              </w:rPr>
            </w:pPr>
            <w:r>
              <w:rPr>
                <w:rFonts w:hint="eastAsia"/>
                <w:sz w:val="18"/>
                <w:szCs w:val="18"/>
                <w:lang w:val="en-US" w:eastAsia="zh-CN"/>
              </w:rPr>
              <w:t>{appliMobile}</w:t>
            </w:r>
          </w:p>
        </w:tc>
      </w:tr>
      <w:tr>
        <w:tblPrEx>
          <w:tblCellMar>
            <w:top w:w="0" w:type="dxa"/>
            <w:left w:w="51" w:type="dxa"/>
            <w:bottom w:w="0" w:type="dxa"/>
            <w:right w:w="51" w:type="dxa"/>
          </w:tblCellMar>
        </w:tblPrEx>
        <w:trPr>
          <w:trHeight w:val="250" w:hRule="exact"/>
          <w:jc w:val="center"/>
        </w:trPr>
        <w:tc>
          <w:tcPr>
            <w:tcW w:w="1492" w:type="dxa"/>
            <w:vMerge w:val="continue"/>
            <w:tcBorders>
              <w:left w:val="single" w:color="auto" w:sz="4" w:space="0"/>
            </w:tcBorders>
            <w:shd w:val="clear" w:color="auto" w:fill="FFFFFF"/>
            <w:vAlign w:val="center"/>
          </w:tcPr>
          <w:p>
            <w:pPr>
              <w:adjustRightInd w:val="0"/>
              <w:snapToGrid w:val="0"/>
              <w:spacing w:after="120" w:afterLines="50" w:line="276" w:lineRule="auto"/>
              <w:jc w:val="center"/>
              <w:rPr>
                <w:rFonts w:ascii="黑体" w:hAnsi="黑体" w:eastAsia="黑体"/>
                <w:sz w:val="18"/>
                <w:szCs w:val="18"/>
              </w:rPr>
            </w:pPr>
          </w:p>
        </w:tc>
        <w:tc>
          <w:tcPr>
            <w:tcW w:w="1531" w:type="dxa"/>
            <w:gridSpan w:val="2"/>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sz w:val="18"/>
                <w:szCs w:val="18"/>
              </w:rPr>
            </w:pPr>
            <w:r>
              <w:rPr>
                <w:sz w:val="18"/>
                <w:szCs w:val="18"/>
              </w:rPr>
              <w:t>证件类型及号码</w:t>
            </w:r>
          </w:p>
        </w:tc>
        <w:tc>
          <w:tcPr>
            <w:tcW w:w="6512" w:type="dxa"/>
            <w:gridSpan w:val="5"/>
            <w:tcBorders>
              <w:top w:val="single" w:color="auto" w:sz="4" w:space="0"/>
              <w:left w:val="single" w:color="auto" w:sz="4" w:space="0"/>
              <w:right w:val="single" w:color="auto" w:sz="4" w:space="0"/>
            </w:tcBorders>
            <w:shd w:val="clear" w:color="auto" w:fill="FFFFFF"/>
            <w:vAlign w:val="center"/>
          </w:tcPr>
          <w:p>
            <w:pPr>
              <w:pStyle w:val="13"/>
              <w:tabs>
                <w:tab w:val="left" w:pos="3800"/>
                <w:tab w:val="left" w:pos="4520"/>
              </w:tabs>
              <w:adjustRightInd w:val="0"/>
              <w:snapToGrid w:val="0"/>
              <w:spacing w:line="276" w:lineRule="auto"/>
              <w:ind w:firstLine="0"/>
              <w:rPr>
                <w:sz w:val="18"/>
                <w:szCs w:val="18"/>
                <w:lang w:eastAsia="zh-CN"/>
              </w:rPr>
            </w:pPr>
            <w:r>
              <w:rPr>
                <w:rFonts w:hint="eastAsia"/>
                <w:sz w:val="18"/>
                <w:szCs w:val="18"/>
                <w:lang w:val="en-US" w:eastAsia="zh-CN"/>
              </w:rPr>
              <w:t>{appliCardType}</w:t>
            </w:r>
            <w:r>
              <w:rPr>
                <w:rFonts w:hint="eastAsia"/>
                <w:sz w:val="18"/>
                <w:szCs w:val="18"/>
                <w:lang w:eastAsia="zh-CN"/>
              </w:rPr>
              <w:t>/</w:t>
            </w:r>
            <w:r>
              <w:rPr>
                <w:rFonts w:hint="eastAsia"/>
                <w:sz w:val="18"/>
                <w:szCs w:val="18"/>
                <w:lang w:val="en-US" w:eastAsia="zh-CN"/>
              </w:rPr>
              <w:t>{appliCardNo}</w:t>
            </w:r>
            <w:r>
              <w:rPr>
                <w:rFonts w:hint="eastAsia"/>
                <w:sz w:val="18"/>
                <w:szCs w:val="18"/>
                <w:lang w:eastAsia="zh-CN"/>
              </w:rPr>
              <w:t xml:space="preserve">                   </w:t>
            </w:r>
          </w:p>
        </w:tc>
      </w:tr>
      <w:tr>
        <w:tblPrEx>
          <w:tblCellMar>
            <w:top w:w="0" w:type="dxa"/>
            <w:left w:w="51" w:type="dxa"/>
            <w:bottom w:w="0" w:type="dxa"/>
            <w:right w:w="51" w:type="dxa"/>
          </w:tblCellMar>
        </w:tblPrEx>
        <w:trPr>
          <w:trHeight w:val="280" w:hRule="exact"/>
          <w:jc w:val="center"/>
        </w:trPr>
        <w:tc>
          <w:tcPr>
            <w:tcW w:w="1492" w:type="dxa"/>
            <w:vMerge w:val="continue"/>
            <w:tcBorders>
              <w:left w:val="single" w:color="auto" w:sz="4" w:space="0"/>
            </w:tcBorders>
            <w:shd w:val="clear" w:color="auto" w:fill="FFFFFF"/>
            <w:vAlign w:val="center"/>
          </w:tcPr>
          <w:p>
            <w:pPr>
              <w:adjustRightInd w:val="0"/>
              <w:snapToGrid w:val="0"/>
              <w:spacing w:after="120" w:afterLines="50" w:line="276" w:lineRule="auto"/>
              <w:jc w:val="center"/>
              <w:rPr>
                <w:rFonts w:ascii="黑体" w:hAnsi="黑体" w:eastAsia="黑体"/>
                <w:sz w:val="18"/>
                <w:szCs w:val="18"/>
                <w:lang w:eastAsia="zh-CN"/>
              </w:rPr>
            </w:pPr>
          </w:p>
        </w:tc>
        <w:tc>
          <w:tcPr>
            <w:tcW w:w="1531" w:type="dxa"/>
            <w:gridSpan w:val="2"/>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sz w:val="18"/>
                <w:szCs w:val="18"/>
              </w:rPr>
            </w:pPr>
            <w:r>
              <w:rPr>
                <w:sz w:val="18"/>
                <w:szCs w:val="18"/>
              </w:rPr>
              <w:t>联系地址</w:t>
            </w:r>
          </w:p>
        </w:tc>
        <w:tc>
          <w:tcPr>
            <w:tcW w:w="6512" w:type="dxa"/>
            <w:gridSpan w:val="5"/>
            <w:tcBorders>
              <w:top w:val="single" w:color="auto" w:sz="4" w:space="0"/>
              <w:left w:val="single" w:color="auto" w:sz="4" w:space="0"/>
              <w:right w:val="single" w:color="auto" w:sz="4" w:space="0"/>
            </w:tcBorders>
            <w:shd w:val="clear" w:color="auto" w:fill="FFFFFF"/>
            <w:vAlign w:val="center"/>
          </w:tcPr>
          <w:p>
            <w:pPr>
              <w:adjustRightInd w:val="0"/>
              <w:snapToGrid w:val="0"/>
              <w:spacing w:line="276" w:lineRule="auto"/>
              <w:jc w:val="center"/>
              <w:rPr>
                <w:rFonts w:hint="default" w:eastAsia="宋体"/>
                <w:sz w:val="18"/>
                <w:szCs w:val="18"/>
                <w:lang w:val="en-US" w:eastAsia="zh-CN"/>
              </w:rPr>
            </w:pPr>
            <w:r>
              <w:rPr>
                <w:rFonts w:hint="eastAsia" w:ascii="宋体" w:hAnsi="宋体" w:eastAsia="宋体" w:cs="宋体"/>
                <w:b w:val="0"/>
                <w:bCs w:val="0"/>
                <w:sz w:val="18"/>
                <w:szCs w:val="18"/>
                <w:lang w:val="en-US" w:eastAsia="zh-CN"/>
              </w:rPr>
              <w:t>{contactAddress}</w:t>
            </w:r>
          </w:p>
        </w:tc>
      </w:tr>
      <w:tr>
        <w:tblPrEx>
          <w:tblCellMar>
            <w:top w:w="0" w:type="dxa"/>
            <w:left w:w="51" w:type="dxa"/>
            <w:bottom w:w="0" w:type="dxa"/>
            <w:right w:w="51" w:type="dxa"/>
          </w:tblCellMar>
        </w:tblPrEx>
        <w:trPr>
          <w:trHeight w:val="975" w:hRule="exact"/>
          <w:jc w:val="center"/>
        </w:trPr>
        <w:tc>
          <w:tcPr>
            <w:tcW w:w="1492" w:type="dxa"/>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lang w:eastAsia="zh-CN"/>
              </w:rPr>
            </w:pPr>
            <w:r>
              <w:rPr>
                <w:rFonts w:ascii="黑体" w:hAnsi="黑体" w:eastAsia="黑体"/>
                <w:sz w:val="18"/>
                <w:szCs w:val="18"/>
              </w:rPr>
              <w:t>财产保险及</w:t>
            </w:r>
            <w:r>
              <w:rPr>
                <w:rFonts w:hint="eastAsia" w:ascii="黑体" w:hAnsi="黑体" w:eastAsia="黑体"/>
                <w:sz w:val="18"/>
                <w:szCs w:val="18"/>
                <w:highlight w:val="yellow"/>
                <w:lang w:eastAsia="zh-CN"/>
              </w:rPr>
              <w:t>火灾</w:t>
            </w:r>
            <w:r>
              <w:rPr>
                <w:rFonts w:ascii="黑体" w:hAnsi="黑体" w:eastAsia="黑体"/>
                <w:sz w:val="18"/>
                <w:szCs w:val="18"/>
                <w:highlight w:val="yellow"/>
              </w:rPr>
              <w:t>公众责任险的被保险人</w:t>
            </w:r>
          </w:p>
        </w:tc>
        <w:tc>
          <w:tcPr>
            <w:tcW w:w="8043" w:type="dxa"/>
            <w:gridSpan w:val="7"/>
            <w:tcBorders>
              <w:top w:val="single" w:color="auto" w:sz="4" w:space="0"/>
              <w:left w:val="single" w:color="auto" w:sz="4" w:space="0"/>
              <w:right w:val="single" w:color="auto" w:sz="4" w:space="0"/>
            </w:tcBorders>
            <w:shd w:val="clear" w:color="auto" w:fill="FFFFFF"/>
            <w:vAlign w:val="center"/>
          </w:tcPr>
          <w:p>
            <w:pPr>
              <w:pStyle w:val="13"/>
              <w:spacing w:line="276" w:lineRule="auto"/>
              <w:ind w:firstLine="0"/>
              <w:rPr>
                <w:sz w:val="18"/>
                <w:szCs w:val="18"/>
              </w:rPr>
            </w:pPr>
            <w:r>
              <w:rPr>
                <w:sz w:val="18"/>
                <w:szCs w:val="18"/>
              </w:rPr>
              <w:t>燃气用户编号的注册使用人</w:t>
            </w:r>
          </w:p>
        </w:tc>
      </w:tr>
      <w:tr>
        <w:tblPrEx>
          <w:tblCellMar>
            <w:top w:w="0" w:type="dxa"/>
            <w:left w:w="51" w:type="dxa"/>
            <w:bottom w:w="0" w:type="dxa"/>
            <w:right w:w="51" w:type="dxa"/>
          </w:tblCellMar>
        </w:tblPrEx>
        <w:trPr>
          <w:trHeight w:val="510" w:hRule="exact"/>
          <w:jc w:val="center"/>
        </w:trPr>
        <w:tc>
          <w:tcPr>
            <w:tcW w:w="1492" w:type="dxa"/>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highlight w:val="yellow"/>
                <w:lang w:eastAsia="zh-CN"/>
              </w:rPr>
            </w:pPr>
            <w:r>
              <w:rPr>
                <w:rFonts w:ascii="黑体" w:hAnsi="黑体" w:eastAsia="黑体"/>
                <w:sz w:val="18"/>
                <w:szCs w:val="18"/>
                <w:highlight w:val="yellow"/>
              </w:rPr>
              <w:t>保险标的</w:t>
            </w:r>
          </w:p>
          <w:p>
            <w:pPr>
              <w:pStyle w:val="13"/>
              <w:adjustRightInd w:val="0"/>
              <w:snapToGrid w:val="0"/>
              <w:spacing w:line="276" w:lineRule="auto"/>
              <w:ind w:firstLine="0"/>
              <w:jc w:val="center"/>
              <w:rPr>
                <w:rFonts w:ascii="黑体" w:hAnsi="黑体" w:eastAsia="黑体"/>
                <w:sz w:val="18"/>
                <w:szCs w:val="18"/>
              </w:rPr>
            </w:pPr>
            <w:r>
              <w:rPr>
                <w:rFonts w:ascii="黑体" w:hAnsi="黑体" w:eastAsia="黑体"/>
                <w:sz w:val="18"/>
                <w:szCs w:val="18"/>
                <w:highlight w:val="yellow"/>
              </w:rPr>
              <w:t>及其坐落地址</w:t>
            </w:r>
          </w:p>
        </w:tc>
        <w:tc>
          <w:tcPr>
            <w:tcW w:w="8043" w:type="dxa"/>
            <w:gridSpan w:val="7"/>
            <w:tcBorders>
              <w:top w:val="single" w:color="auto" w:sz="4" w:space="0"/>
              <w:left w:val="single" w:color="auto" w:sz="4" w:space="0"/>
              <w:right w:val="single" w:color="auto" w:sz="4" w:space="0"/>
            </w:tcBorders>
            <w:shd w:val="clear" w:color="auto" w:fill="FFFFFF"/>
            <w:vAlign w:val="center"/>
          </w:tcPr>
          <w:p>
            <w:pPr>
              <w:pStyle w:val="13"/>
              <w:spacing w:line="276" w:lineRule="auto"/>
              <w:ind w:firstLine="0"/>
              <w:rPr>
                <w:rFonts w:eastAsia="PMingLiU"/>
                <w:sz w:val="18"/>
                <w:szCs w:val="18"/>
              </w:rPr>
            </w:pPr>
            <w:r>
              <w:rPr>
                <w:rFonts w:hint="eastAsia" w:ascii="宋体" w:hAnsi="宋体" w:eastAsia="宋体" w:cs="宋体"/>
                <w:b w:val="0"/>
                <w:bCs w:val="0"/>
                <w:sz w:val="18"/>
                <w:szCs w:val="18"/>
                <w:lang w:val="en-US" w:eastAsia="zh-CN"/>
              </w:rPr>
              <w:t>{address}</w:t>
            </w:r>
          </w:p>
        </w:tc>
      </w:tr>
      <w:tr>
        <w:tblPrEx>
          <w:tblCellMar>
            <w:top w:w="0" w:type="dxa"/>
            <w:left w:w="51" w:type="dxa"/>
            <w:bottom w:w="0" w:type="dxa"/>
            <w:right w:w="51" w:type="dxa"/>
          </w:tblCellMar>
        </w:tblPrEx>
        <w:trPr>
          <w:trHeight w:val="520" w:hRule="exact"/>
          <w:jc w:val="center"/>
        </w:trPr>
        <w:tc>
          <w:tcPr>
            <w:tcW w:w="1492" w:type="dxa"/>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rPr>
            </w:pPr>
            <w:r>
              <w:rPr>
                <w:rFonts w:ascii="黑体" w:hAnsi="黑体" w:eastAsia="黑体"/>
                <w:sz w:val="18"/>
                <w:szCs w:val="18"/>
              </w:rPr>
              <w:t>商业用户类型</w:t>
            </w:r>
          </w:p>
        </w:tc>
        <w:tc>
          <w:tcPr>
            <w:tcW w:w="1531" w:type="dxa"/>
            <w:gridSpan w:val="2"/>
            <w:tcBorders>
              <w:top w:val="single" w:color="auto" w:sz="4" w:space="0"/>
              <w:left w:val="single" w:color="auto" w:sz="4" w:space="0"/>
            </w:tcBorders>
            <w:shd w:val="clear" w:color="auto" w:fill="FFFFFF"/>
            <w:vAlign w:val="center"/>
          </w:tcPr>
          <w:p>
            <w:pPr>
              <w:pStyle w:val="13"/>
              <w:spacing w:line="276" w:lineRule="auto"/>
              <w:ind w:firstLine="0"/>
              <w:jc w:val="center"/>
              <w:rPr>
                <w:sz w:val="18"/>
                <w:szCs w:val="18"/>
              </w:rPr>
            </w:pPr>
            <w:r>
              <w:rPr>
                <w:sz w:val="18"/>
                <w:szCs w:val="18"/>
              </w:rPr>
              <w:t>政府机关、企事业单位所属食堂</w:t>
            </w:r>
          </w:p>
        </w:tc>
        <w:tc>
          <w:tcPr>
            <w:tcW w:w="1443" w:type="dxa"/>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rPr>
            </w:pPr>
            <w:r>
              <w:rPr>
                <w:rFonts w:hint="eastAsia" w:ascii="黑体" w:hAnsi="黑体" w:eastAsia="黑体"/>
                <w:sz w:val="18"/>
                <w:szCs w:val="18"/>
              </w:rPr>
              <w:t>营业</w:t>
            </w:r>
            <w:r>
              <w:rPr>
                <w:rFonts w:ascii="黑体" w:hAnsi="黑体" w:eastAsia="黑体"/>
                <w:sz w:val="18"/>
                <w:szCs w:val="18"/>
              </w:rPr>
              <w:t>/</w:t>
            </w:r>
            <w:r>
              <w:rPr>
                <w:rFonts w:hint="eastAsia" w:ascii="黑体" w:hAnsi="黑体" w:eastAsia="黑体"/>
                <w:sz w:val="18"/>
                <w:szCs w:val="18"/>
              </w:rPr>
              <w:t>建筑面积㎡</w:t>
            </w:r>
          </w:p>
        </w:tc>
        <w:tc>
          <w:tcPr>
            <w:tcW w:w="1444" w:type="dxa"/>
            <w:tcBorders>
              <w:top w:val="single" w:color="auto" w:sz="4" w:space="0"/>
              <w:left w:val="single" w:color="auto" w:sz="4" w:space="0"/>
            </w:tcBorders>
            <w:shd w:val="clear" w:color="auto" w:fill="FFFFFF"/>
            <w:vAlign w:val="center"/>
          </w:tcPr>
          <w:p>
            <w:pPr>
              <w:pStyle w:val="13"/>
              <w:spacing w:line="276" w:lineRule="auto"/>
              <w:ind w:firstLine="0"/>
              <w:rPr>
                <w:sz w:val="18"/>
                <w:szCs w:val="18"/>
                <w:lang w:eastAsia="zh-CN"/>
              </w:rPr>
            </w:pPr>
            <w:r>
              <w:rPr>
                <w:rFonts w:hint="eastAsia"/>
                <w:sz w:val="18"/>
                <w:szCs w:val="18"/>
                <w:lang w:eastAsia="zh-CN"/>
              </w:rPr>
              <w:t>0.00</w:t>
            </w:r>
          </w:p>
        </w:tc>
        <w:tc>
          <w:tcPr>
            <w:tcW w:w="1663" w:type="dxa"/>
            <w:gridSpan w:val="2"/>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rPr>
            </w:pPr>
            <w:r>
              <w:rPr>
                <w:rFonts w:ascii="黑体" w:hAnsi="黑体" w:eastAsia="黑体"/>
                <w:sz w:val="18"/>
                <w:szCs w:val="18"/>
              </w:rPr>
              <w:t>燃气用户编号</w:t>
            </w:r>
          </w:p>
        </w:tc>
        <w:tc>
          <w:tcPr>
            <w:tcW w:w="1962" w:type="dxa"/>
            <w:tcBorders>
              <w:top w:val="single" w:color="auto" w:sz="4" w:space="0"/>
              <w:left w:val="single" w:color="auto" w:sz="4" w:space="0"/>
              <w:right w:val="single" w:color="auto" w:sz="4" w:space="0"/>
            </w:tcBorders>
            <w:shd w:val="clear" w:color="auto" w:fill="FFFFFF"/>
            <w:vAlign w:val="center"/>
          </w:tcPr>
          <w:p>
            <w:pPr>
              <w:jc w:val="center"/>
              <w:rPr>
                <w:rFonts w:hint="default" w:eastAsia="宋体"/>
                <w:sz w:val="18"/>
                <w:szCs w:val="18"/>
                <w:lang w:val="en-US" w:eastAsia="zh-CN"/>
              </w:rPr>
            </w:pPr>
            <w:r>
              <w:rPr>
                <w:rFonts w:hint="eastAsia" w:eastAsia="宋体"/>
                <w:sz w:val="18"/>
                <w:szCs w:val="18"/>
                <w:lang w:val="en-US" w:eastAsia="zh-CN"/>
              </w:rPr>
              <w:t>{gasNo}</w:t>
            </w:r>
          </w:p>
        </w:tc>
      </w:tr>
      <w:tr>
        <w:tblPrEx>
          <w:tblCellMar>
            <w:top w:w="0" w:type="dxa"/>
            <w:left w:w="51" w:type="dxa"/>
            <w:bottom w:w="0" w:type="dxa"/>
            <w:right w:w="51" w:type="dxa"/>
          </w:tblCellMar>
        </w:tblPrEx>
        <w:trPr>
          <w:trHeight w:val="408" w:hRule="exact"/>
          <w:jc w:val="center"/>
        </w:trPr>
        <w:tc>
          <w:tcPr>
            <w:tcW w:w="1492" w:type="dxa"/>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lang w:eastAsia="zh-CN"/>
              </w:rPr>
            </w:pPr>
            <w:r>
              <w:rPr>
                <w:rFonts w:hint="eastAsia" w:ascii="黑体" w:hAnsi="黑体" w:eastAsia="黑体"/>
                <w:sz w:val="18"/>
                <w:szCs w:val="18"/>
                <w:lang w:eastAsia="zh-CN"/>
              </w:rPr>
              <w:t>建筑结构</w:t>
            </w:r>
          </w:p>
        </w:tc>
        <w:tc>
          <w:tcPr>
            <w:tcW w:w="8043" w:type="dxa"/>
            <w:gridSpan w:val="7"/>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both"/>
              <w:rPr>
                <w:sz w:val="18"/>
                <w:szCs w:val="18"/>
              </w:rPr>
            </w:pPr>
          </w:p>
        </w:tc>
      </w:tr>
      <w:tr>
        <w:tblPrEx>
          <w:tblCellMar>
            <w:top w:w="0" w:type="dxa"/>
            <w:left w:w="51" w:type="dxa"/>
            <w:bottom w:w="0" w:type="dxa"/>
            <w:right w:w="51" w:type="dxa"/>
          </w:tblCellMar>
        </w:tblPrEx>
        <w:trPr>
          <w:trHeight w:val="300" w:hRule="exact"/>
          <w:jc w:val="center"/>
        </w:trPr>
        <w:tc>
          <w:tcPr>
            <w:tcW w:w="1492" w:type="dxa"/>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rPr>
            </w:pPr>
            <w:r>
              <w:rPr>
                <w:rFonts w:ascii="黑体" w:hAnsi="黑体" w:eastAsia="黑体"/>
                <w:sz w:val="18"/>
                <w:szCs w:val="18"/>
              </w:rPr>
              <w:t>保险期间</w:t>
            </w:r>
          </w:p>
        </w:tc>
        <w:tc>
          <w:tcPr>
            <w:tcW w:w="8043" w:type="dxa"/>
            <w:gridSpan w:val="7"/>
            <w:tcBorders>
              <w:top w:val="single" w:color="auto" w:sz="4" w:space="0"/>
              <w:left w:val="single" w:color="auto" w:sz="4" w:space="0"/>
              <w:right w:val="single" w:color="auto" w:sz="4" w:space="0"/>
            </w:tcBorders>
            <w:shd w:val="clear" w:color="auto" w:fill="FFFFFF"/>
            <w:vAlign w:val="center"/>
          </w:tcPr>
          <w:p>
            <w:pPr>
              <w:pStyle w:val="13"/>
              <w:spacing w:line="276" w:lineRule="auto"/>
              <w:ind w:firstLine="0"/>
              <w:jc w:val="both"/>
              <w:rPr>
                <w:sz w:val="18"/>
                <w:szCs w:val="18"/>
              </w:rPr>
            </w:pPr>
            <w:r>
              <w:rPr>
                <w:sz w:val="18"/>
                <w:szCs w:val="18"/>
              </w:rPr>
              <w:t>1年，自</w:t>
            </w:r>
            <w:r>
              <w:rPr>
                <w:rFonts w:hint="eastAsia"/>
                <w:sz w:val="18"/>
                <w:szCs w:val="18"/>
                <w:lang w:val="en-US" w:eastAsia="zh-CN"/>
              </w:rPr>
              <w:t>{contStartDate}</w:t>
            </w:r>
            <w:r>
              <w:rPr>
                <w:sz w:val="18"/>
                <w:szCs w:val="18"/>
              </w:rPr>
              <w:t>00时起至</w:t>
            </w:r>
            <w:r>
              <w:rPr>
                <w:rFonts w:hint="eastAsia"/>
                <w:sz w:val="18"/>
                <w:szCs w:val="18"/>
                <w:lang w:val="en-US" w:eastAsia="zh-CN"/>
              </w:rPr>
              <w:t>{contEndDate}00</w:t>
            </w:r>
            <w:bookmarkStart w:id="0" w:name="_GoBack"/>
            <w:bookmarkEnd w:id="0"/>
            <w:r>
              <w:rPr>
                <w:sz w:val="18"/>
                <w:szCs w:val="18"/>
              </w:rPr>
              <w:t>时止</w:t>
            </w:r>
          </w:p>
        </w:tc>
      </w:tr>
      <w:tr>
        <w:tblPrEx>
          <w:tblCellMar>
            <w:top w:w="0" w:type="dxa"/>
            <w:left w:w="51" w:type="dxa"/>
            <w:bottom w:w="0" w:type="dxa"/>
            <w:right w:w="51" w:type="dxa"/>
          </w:tblCellMar>
        </w:tblPrEx>
        <w:trPr>
          <w:trHeight w:val="270" w:hRule="exact"/>
          <w:jc w:val="center"/>
        </w:trPr>
        <w:tc>
          <w:tcPr>
            <w:tcW w:w="2552" w:type="dxa"/>
            <w:gridSpan w:val="2"/>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rPr>
            </w:pPr>
            <w:r>
              <w:rPr>
                <w:rFonts w:ascii="黑体" w:hAnsi="黑体" w:eastAsia="黑体"/>
                <w:sz w:val="18"/>
                <w:szCs w:val="18"/>
              </w:rPr>
              <w:t>险别</w:t>
            </w:r>
          </w:p>
        </w:tc>
        <w:tc>
          <w:tcPr>
            <w:tcW w:w="4190" w:type="dxa"/>
            <w:gridSpan w:val="4"/>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rPr>
            </w:pPr>
            <w:r>
              <w:rPr>
                <w:rFonts w:ascii="黑体" w:hAnsi="黑体" w:eastAsia="黑体"/>
                <w:sz w:val="18"/>
                <w:szCs w:val="18"/>
              </w:rPr>
              <w:t>保障责任</w:t>
            </w:r>
          </w:p>
        </w:tc>
        <w:tc>
          <w:tcPr>
            <w:tcW w:w="2793" w:type="dxa"/>
            <w:gridSpan w:val="2"/>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rPr>
            </w:pPr>
            <w:r>
              <w:rPr>
                <w:rFonts w:ascii="黑体" w:hAnsi="黑体" w:eastAsia="黑体"/>
                <w:sz w:val="18"/>
                <w:szCs w:val="18"/>
              </w:rPr>
              <w:t>保险金额/赔偿限额（人民币元）</w:t>
            </w:r>
          </w:p>
        </w:tc>
      </w:tr>
      <w:tr>
        <w:tblPrEx>
          <w:tblCellMar>
            <w:top w:w="0" w:type="dxa"/>
            <w:left w:w="51" w:type="dxa"/>
            <w:bottom w:w="0" w:type="dxa"/>
            <w:right w:w="51" w:type="dxa"/>
          </w:tblCellMar>
        </w:tblPrEx>
        <w:trPr>
          <w:trHeight w:val="326" w:hRule="exact"/>
          <w:jc w:val="center"/>
        </w:trPr>
        <w:tc>
          <w:tcPr>
            <w:tcW w:w="2552" w:type="dxa"/>
            <w:gridSpan w:val="2"/>
            <w:vMerge w:val="restart"/>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color w:val="FF0000"/>
                <w:sz w:val="18"/>
                <w:szCs w:val="18"/>
              </w:rPr>
            </w:pPr>
            <w:r>
              <w:rPr>
                <w:color w:val="FF0000"/>
                <w:sz w:val="18"/>
                <w:szCs w:val="18"/>
              </w:rPr>
              <w:t>财产保险部分</w:t>
            </w:r>
          </w:p>
        </w:tc>
        <w:tc>
          <w:tcPr>
            <w:tcW w:w="4190" w:type="dxa"/>
            <w:gridSpan w:val="4"/>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eastAsia="PMingLiU"/>
                <w:color w:val="FF0000"/>
                <w:sz w:val="18"/>
                <w:szCs w:val="18"/>
              </w:rPr>
            </w:pPr>
            <w:r>
              <w:rPr>
                <w:rFonts w:hint="eastAsia" w:eastAsiaTheme="minorEastAsia"/>
                <w:color w:val="FF0000"/>
                <w:sz w:val="18"/>
                <w:szCs w:val="18"/>
                <w:lang w:eastAsia="zh-CN"/>
              </w:rPr>
              <w:t>房屋、</w:t>
            </w:r>
            <w:r>
              <w:rPr>
                <w:rFonts w:eastAsiaTheme="minorEastAsia"/>
                <w:color w:val="FF0000"/>
                <w:sz w:val="18"/>
                <w:szCs w:val="18"/>
                <w:lang w:eastAsia="zh-CN"/>
              </w:rPr>
              <w:t>室内装修</w:t>
            </w:r>
            <w:r>
              <w:rPr>
                <w:rFonts w:hint="eastAsia" w:eastAsiaTheme="minorEastAsia"/>
                <w:color w:val="FF0000"/>
                <w:sz w:val="18"/>
                <w:szCs w:val="18"/>
                <w:lang w:eastAsia="zh-CN"/>
              </w:rPr>
              <w:t>、</w:t>
            </w:r>
            <w:r>
              <w:rPr>
                <w:rFonts w:eastAsiaTheme="minorEastAsia"/>
                <w:color w:val="FF0000"/>
                <w:sz w:val="18"/>
                <w:szCs w:val="18"/>
                <w:lang w:eastAsia="zh-CN"/>
              </w:rPr>
              <w:t>室内财产</w:t>
            </w:r>
          </w:p>
          <w:p>
            <w:pPr>
              <w:pStyle w:val="13"/>
              <w:adjustRightInd w:val="0"/>
              <w:snapToGrid w:val="0"/>
              <w:spacing w:line="276" w:lineRule="auto"/>
              <w:ind w:firstLine="0"/>
              <w:jc w:val="center"/>
              <w:rPr>
                <w:rFonts w:eastAsiaTheme="minorEastAsia"/>
                <w:color w:val="FF0000"/>
                <w:sz w:val="18"/>
                <w:szCs w:val="18"/>
                <w:lang w:eastAsia="zh-CN"/>
              </w:rPr>
            </w:pPr>
          </w:p>
        </w:tc>
        <w:tc>
          <w:tcPr>
            <w:tcW w:w="2793" w:type="dxa"/>
            <w:gridSpan w:val="2"/>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color w:val="FF0000"/>
                <w:sz w:val="18"/>
                <w:szCs w:val="18"/>
              </w:rPr>
            </w:pPr>
            <w:r>
              <w:rPr>
                <w:color w:val="FF0000"/>
                <w:sz w:val="18"/>
                <w:szCs w:val="18"/>
              </w:rPr>
              <w:t>5,000,</w:t>
            </w:r>
            <w:r>
              <w:rPr>
                <w:color w:val="FF0000"/>
                <w:sz w:val="18"/>
                <w:szCs w:val="18"/>
                <w:lang w:val="en-US" w:eastAsia="en-US" w:bidi="en-US"/>
              </w:rPr>
              <w:t>000.</w:t>
            </w:r>
            <w:r>
              <w:rPr>
                <w:color w:val="FF0000"/>
                <w:sz w:val="18"/>
                <w:szCs w:val="18"/>
              </w:rPr>
              <w:t>00</w:t>
            </w:r>
          </w:p>
        </w:tc>
      </w:tr>
      <w:tr>
        <w:tblPrEx>
          <w:tblCellMar>
            <w:top w:w="0" w:type="dxa"/>
            <w:left w:w="51" w:type="dxa"/>
            <w:bottom w:w="0" w:type="dxa"/>
            <w:right w:w="51" w:type="dxa"/>
          </w:tblCellMar>
        </w:tblPrEx>
        <w:trPr>
          <w:trHeight w:val="326" w:hRule="exact"/>
          <w:jc w:val="center"/>
        </w:trPr>
        <w:tc>
          <w:tcPr>
            <w:tcW w:w="2552" w:type="dxa"/>
            <w:gridSpan w:val="2"/>
            <w:vMerge w:val="continue"/>
            <w:tcBorders>
              <w:left w:val="single" w:color="auto" w:sz="4" w:space="0"/>
            </w:tcBorders>
            <w:shd w:val="clear" w:color="auto" w:fill="FFFFFF"/>
            <w:vAlign w:val="center"/>
          </w:tcPr>
          <w:p>
            <w:pPr>
              <w:pStyle w:val="13"/>
              <w:adjustRightInd w:val="0"/>
              <w:snapToGrid w:val="0"/>
              <w:spacing w:line="276" w:lineRule="auto"/>
              <w:ind w:firstLine="0"/>
              <w:jc w:val="center"/>
              <w:rPr>
                <w:color w:val="FF0000"/>
                <w:sz w:val="18"/>
                <w:szCs w:val="18"/>
              </w:rPr>
            </w:pPr>
          </w:p>
        </w:tc>
        <w:tc>
          <w:tcPr>
            <w:tcW w:w="4190" w:type="dxa"/>
            <w:gridSpan w:val="4"/>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eastAsia="PMingLiU"/>
                <w:color w:val="FF0000"/>
                <w:sz w:val="18"/>
                <w:szCs w:val="18"/>
              </w:rPr>
            </w:pPr>
            <w:r>
              <w:rPr>
                <w:rFonts w:hint="eastAsia" w:eastAsiaTheme="minorEastAsia"/>
                <w:color w:val="FF0000"/>
                <w:sz w:val="18"/>
                <w:szCs w:val="18"/>
                <w:lang w:eastAsia="zh-CN"/>
              </w:rPr>
              <w:t>其中：房屋、</w:t>
            </w:r>
            <w:r>
              <w:rPr>
                <w:rFonts w:eastAsiaTheme="minorEastAsia"/>
                <w:color w:val="FF0000"/>
                <w:sz w:val="18"/>
                <w:szCs w:val="18"/>
                <w:lang w:eastAsia="zh-CN"/>
              </w:rPr>
              <w:t>室内装修</w:t>
            </w:r>
          </w:p>
        </w:tc>
        <w:tc>
          <w:tcPr>
            <w:tcW w:w="2793" w:type="dxa"/>
            <w:gridSpan w:val="2"/>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color w:val="FF0000"/>
                <w:sz w:val="18"/>
                <w:szCs w:val="18"/>
                <w:lang w:eastAsia="zh-CN"/>
              </w:rPr>
            </w:pPr>
            <w:r>
              <w:rPr>
                <w:rFonts w:hint="eastAsia"/>
                <w:color w:val="FF0000"/>
                <w:sz w:val="18"/>
                <w:szCs w:val="18"/>
                <w:lang w:eastAsia="zh-CN"/>
              </w:rPr>
              <w:t>XXX</w:t>
            </w:r>
          </w:p>
        </w:tc>
      </w:tr>
      <w:tr>
        <w:tblPrEx>
          <w:tblCellMar>
            <w:top w:w="0" w:type="dxa"/>
            <w:left w:w="51" w:type="dxa"/>
            <w:bottom w:w="0" w:type="dxa"/>
            <w:right w:w="51" w:type="dxa"/>
          </w:tblCellMar>
        </w:tblPrEx>
        <w:trPr>
          <w:trHeight w:val="326" w:hRule="exact"/>
          <w:jc w:val="center"/>
        </w:trPr>
        <w:tc>
          <w:tcPr>
            <w:tcW w:w="2552" w:type="dxa"/>
            <w:gridSpan w:val="2"/>
            <w:vMerge w:val="continue"/>
            <w:tcBorders>
              <w:left w:val="single" w:color="auto" w:sz="4" w:space="0"/>
            </w:tcBorders>
            <w:shd w:val="clear" w:color="auto" w:fill="FFFFFF"/>
            <w:vAlign w:val="center"/>
          </w:tcPr>
          <w:p>
            <w:pPr>
              <w:pStyle w:val="13"/>
              <w:adjustRightInd w:val="0"/>
              <w:snapToGrid w:val="0"/>
              <w:spacing w:line="276" w:lineRule="auto"/>
              <w:ind w:firstLine="0"/>
              <w:jc w:val="center"/>
              <w:rPr>
                <w:color w:val="FF0000"/>
                <w:sz w:val="18"/>
                <w:szCs w:val="18"/>
              </w:rPr>
            </w:pPr>
          </w:p>
        </w:tc>
        <w:tc>
          <w:tcPr>
            <w:tcW w:w="4190" w:type="dxa"/>
            <w:gridSpan w:val="4"/>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eastAsia="PMingLiU"/>
                <w:color w:val="FF0000"/>
                <w:sz w:val="18"/>
                <w:szCs w:val="18"/>
              </w:rPr>
            </w:pPr>
            <w:r>
              <w:rPr>
                <w:rFonts w:hint="eastAsia" w:eastAsiaTheme="minorEastAsia"/>
                <w:color w:val="FF0000"/>
                <w:sz w:val="18"/>
                <w:szCs w:val="18"/>
                <w:lang w:eastAsia="zh-CN"/>
              </w:rPr>
              <w:t>室内</w:t>
            </w:r>
            <w:r>
              <w:rPr>
                <w:rFonts w:eastAsiaTheme="minorEastAsia"/>
                <w:color w:val="FF0000"/>
                <w:sz w:val="18"/>
                <w:szCs w:val="18"/>
                <w:lang w:eastAsia="zh-CN"/>
              </w:rPr>
              <w:t>财产</w:t>
            </w:r>
          </w:p>
        </w:tc>
        <w:tc>
          <w:tcPr>
            <w:tcW w:w="2793" w:type="dxa"/>
            <w:gridSpan w:val="2"/>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color w:val="FF0000"/>
                <w:sz w:val="18"/>
                <w:szCs w:val="18"/>
                <w:lang w:eastAsia="zh-CN"/>
              </w:rPr>
            </w:pPr>
            <w:r>
              <w:rPr>
                <w:rFonts w:hint="eastAsia"/>
                <w:color w:val="FF0000"/>
                <w:sz w:val="18"/>
                <w:szCs w:val="18"/>
                <w:lang w:eastAsia="zh-CN"/>
              </w:rPr>
              <w:t>XXX</w:t>
            </w:r>
          </w:p>
        </w:tc>
      </w:tr>
      <w:tr>
        <w:tblPrEx>
          <w:tblCellMar>
            <w:top w:w="0" w:type="dxa"/>
            <w:left w:w="51" w:type="dxa"/>
            <w:bottom w:w="0" w:type="dxa"/>
            <w:right w:w="51" w:type="dxa"/>
          </w:tblCellMar>
        </w:tblPrEx>
        <w:trPr>
          <w:trHeight w:val="270" w:hRule="exact"/>
          <w:jc w:val="center"/>
        </w:trPr>
        <w:tc>
          <w:tcPr>
            <w:tcW w:w="2552" w:type="dxa"/>
            <w:gridSpan w:val="2"/>
            <w:vMerge w:val="restart"/>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rFonts w:hint="eastAsia"/>
                <w:sz w:val="18"/>
                <w:szCs w:val="18"/>
                <w:highlight w:val="yellow"/>
                <w:lang w:eastAsia="zh-CN"/>
              </w:rPr>
              <w:t>火灾</w:t>
            </w:r>
            <w:r>
              <w:rPr>
                <w:sz w:val="18"/>
                <w:szCs w:val="18"/>
                <w:highlight w:val="yellow"/>
                <w:lang w:eastAsia="zh-CN"/>
              </w:rPr>
              <w:t>公众</w:t>
            </w:r>
            <w:r>
              <w:rPr>
                <w:sz w:val="18"/>
                <w:szCs w:val="18"/>
                <w:highlight w:val="yellow"/>
              </w:rPr>
              <w:t>责任保险部分</w:t>
            </w:r>
          </w:p>
        </w:tc>
        <w:tc>
          <w:tcPr>
            <w:tcW w:w="4190" w:type="dxa"/>
            <w:gridSpan w:val="4"/>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sz w:val="18"/>
                <w:szCs w:val="18"/>
                <w:highlight w:val="yellow"/>
              </w:rPr>
              <w:t>累计赔偿限额</w:t>
            </w:r>
          </w:p>
        </w:tc>
        <w:tc>
          <w:tcPr>
            <w:tcW w:w="2793" w:type="dxa"/>
            <w:gridSpan w:val="2"/>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sz w:val="18"/>
                <w:szCs w:val="18"/>
                <w:highlight w:val="yellow"/>
              </w:rPr>
              <w:t>10,000,</w:t>
            </w:r>
            <w:r>
              <w:rPr>
                <w:sz w:val="18"/>
                <w:szCs w:val="18"/>
                <w:highlight w:val="yellow"/>
                <w:lang w:val="en-US" w:eastAsia="en-US" w:bidi="en-US"/>
              </w:rPr>
              <w:t>000.</w:t>
            </w:r>
            <w:r>
              <w:rPr>
                <w:sz w:val="18"/>
                <w:szCs w:val="18"/>
                <w:highlight w:val="yellow"/>
              </w:rPr>
              <w:t>00</w:t>
            </w:r>
          </w:p>
        </w:tc>
      </w:tr>
      <w:tr>
        <w:tblPrEx>
          <w:tblCellMar>
            <w:top w:w="0" w:type="dxa"/>
            <w:left w:w="51" w:type="dxa"/>
            <w:bottom w:w="0" w:type="dxa"/>
            <w:right w:w="51" w:type="dxa"/>
          </w:tblCellMar>
        </w:tblPrEx>
        <w:trPr>
          <w:trHeight w:val="270" w:hRule="exact"/>
          <w:jc w:val="center"/>
        </w:trPr>
        <w:tc>
          <w:tcPr>
            <w:tcW w:w="2552" w:type="dxa"/>
            <w:gridSpan w:val="2"/>
            <w:vMerge w:val="continue"/>
            <w:tcBorders>
              <w:left w:val="single" w:color="auto" w:sz="4" w:space="0"/>
            </w:tcBorders>
            <w:shd w:val="clear" w:color="auto" w:fill="FFFFFF"/>
            <w:vAlign w:val="center"/>
          </w:tcPr>
          <w:p>
            <w:pPr>
              <w:adjustRightInd w:val="0"/>
              <w:snapToGrid w:val="0"/>
              <w:spacing w:line="276" w:lineRule="auto"/>
              <w:jc w:val="center"/>
              <w:rPr>
                <w:sz w:val="18"/>
                <w:szCs w:val="18"/>
                <w:highlight w:val="yellow"/>
              </w:rPr>
            </w:pPr>
          </w:p>
        </w:tc>
        <w:tc>
          <w:tcPr>
            <w:tcW w:w="4190" w:type="dxa"/>
            <w:gridSpan w:val="4"/>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eastAsia="PMingLiU"/>
                <w:sz w:val="18"/>
                <w:szCs w:val="18"/>
                <w:highlight w:val="yellow"/>
                <w:lang w:eastAsia="zh-CN"/>
              </w:rPr>
            </w:pPr>
            <w:r>
              <w:rPr>
                <w:sz w:val="18"/>
                <w:szCs w:val="18"/>
                <w:highlight w:val="yellow"/>
              </w:rPr>
              <w:t>每</w:t>
            </w:r>
            <w:r>
              <w:rPr>
                <w:rFonts w:hint="eastAsia"/>
                <w:sz w:val="18"/>
                <w:szCs w:val="18"/>
                <w:highlight w:val="yellow"/>
                <w:lang w:eastAsia="zh-CN"/>
              </w:rPr>
              <w:t>人</w:t>
            </w:r>
            <w:r>
              <w:rPr>
                <w:sz w:val="18"/>
                <w:szCs w:val="18"/>
                <w:highlight w:val="yellow"/>
                <w:lang w:eastAsia="zh-CN"/>
              </w:rPr>
              <w:t>责任限额</w:t>
            </w:r>
          </w:p>
        </w:tc>
        <w:tc>
          <w:tcPr>
            <w:tcW w:w="2793" w:type="dxa"/>
            <w:gridSpan w:val="2"/>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sz w:val="18"/>
                <w:szCs w:val="18"/>
                <w:highlight w:val="yellow"/>
                <w:lang w:val="en-US" w:eastAsia="en-US" w:bidi="en-US"/>
              </w:rPr>
              <w:t>100,000.</w:t>
            </w:r>
            <w:r>
              <w:rPr>
                <w:sz w:val="18"/>
                <w:szCs w:val="18"/>
                <w:highlight w:val="yellow"/>
              </w:rPr>
              <w:t>00</w:t>
            </w:r>
          </w:p>
        </w:tc>
      </w:tr>
      <w:tr>
        <w:tblPrEx>
          <w:tblCellMar>
            <w:top w:w="0" w:type="dxa"/>
            <w:left w:w="51" w:type="dxa"/>
            <w:bottom w:w="0" w:type="dxa"/>
            <w:right w:w="51" w:type="dxa"/>
          </w:tblCellMar>
        </w:tblPrEx>
        <w:trPr>
          <w:trHeight w:val="270" w:hRule="exact"/>
          <w:jc w:val="center"/>
        </w:trPr>
        <w:tc>
          <w:tcPr>
            <w:tcW w:w="2552" w:type="dxa"/>
            <w:gridSpan w:val="2"/>
            <w:vMerge w:val="continue"/>
            <w:tcBorders>
              <w:left w:val="single" w:color="auto" w:sz="4" w:space="0"/>
            </w:tcBorders>
            <w:shd w:val="clear" w:color="auto" w:fill="FFFFFF"/>
            <w:vAlign w:val="center"/>
          </w:tcPr>
          <w:p>
            <w:pPr>
              <w:adjustRightInd w:val="0"/>
              <w:snapToGrid w:val="0"/>
              <w:spacing w:line="276" w:lineRule="auto"/>
              <w:jc w:val="center"/>
              <w:rPr>
                <w:sz w:val="18"/>
                <w:szCs w:val="18"/>
                <w:highlight w:val="yellow"/>
              </w:rPr>
            </w:pPr>
          </w:p>
        </w:tc>
        <w:tc>
          <w:tcPr>
            <w:tcW w:w="4190" w:type="dxa"/>
            <w:gridSpan w:val="4"/>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rFonts w:hint="eastAsia"/>
                <w:sz w:val="18"/>
                <w:szCs w:val="18"/>
                <w:highlight w:val="yellow"/>
                <w:lang w:eastAsia="zh-CN"/>
              </w:rPr>
              <w:t>第</w:t>
            </w:r>
            <w:r>
              <w:rPr>
                <w:sz w:val="18"/>
                <w:szCs w:val="18"/>
                <w:highlight w:val="yellow"/>
                <w:lang w:eastAsia="zh-CN"/>
              </w:rPr>
              <w:t>三者财产损失每次事故责任限额</w:t>
            </w:r>
          </w:p>
        </w:tc>
        <w:tc>
          <w:tcPr>
            <w:tcW w:w="2793" w:type="dxa"/>
            <w:gridSpan w:val="2"/>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sz w:val="18"/>
                <w:szCs w:val="18"/>
                <w:highlight w:val="yellow"/>
                <w:lang w:val="en-US" w:eastAsia="en-US" w:bidi="en-US"/>
              </w:rPr>
              <w:t>100,000.</w:t>
            </w:r>
            <w:r>
              <w:rPr>
                <w:sz w:val="18"/>
                <w:szCs w:val="18"/>
                <w:highlight w:val="yellow"/>
              </w:rPr>
              <w:t>00</w:t>
            </w:r>
          </w:p>
        </w:tc>
      </w:tr>
      <w:tr>
        <w:tblPrEx>
          <w:tblCellMar>
            <w:top w:w="0" w:type="dxa"/>
            <w:left w:w="51" w:type="dxa"/>
            <w:bottom w:w="0" w:type="dxa"/>
            <w:right w:w="51" w:type="dxa"/>
          </w:tblCellMar>
        </w:tblPrEx>
        <w:trPr>
          <w:trHeight w:val="270" w:hRule="exact"/>
          <w:jc w:val="center"/>
        </w:trPr>
        <w:tc>
          <w:tcPr>
            <w:tcW w:w="2552" w:type="dxa"/>
            <w:gridSpan w:val="2"/>
            <w:vMerge w:val="restart"/>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rFonts w:hint="eastAsia"/>
                <w:sz w:val="18"/>
                <w:szCs w:val="18"/>
                <w:highlight w:val="yellow"/>
                <w:lang w:eastAsia="zh-CN"/>
              </w:rPr>
              <w:t>附加雇员</w:t>
            </w:r>
            <w:r>
              <w:rPr>
                <w:sz w:val="18"/>
                <w:szCs w:val="18"/>
                <w:highlight w:val="yellow"/>
                <w:lang w:eastAsia="zh-CN"/>
              </w:rPr>
              <w:t>人身伤亡责任</w:t>
            </w:r>
            <w:r>
              <w:rPr>
                <w:sz w:val="18"/>
                <w:szCs w:val="18"/>
                <w:highlight w:val="yellow"/>
              </w:rPr>
              <w:t>部分</w:t>
            </w:r>
          </w:p>
        </w:tc>
        <w:tc>
          <w:tcPr>
            <w:tcW w:w="4190" w:type="dxa"/>
            <w:gridSpan w:val="4"/>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sz w:val="18"/>
                <w:szCs w:val="18"/>
                <w:highlight w:val="yellow"/>
              </w:rPr>
              <w:t>累计赔偿限额</w:t>
            </w:r>
          </w:p>
        </w:tc>
        <w:tc>
          <w:tcPr>
            <w:tcW w:w="2793" w:type="dxa"/>
            <w:gridSpan w:val="2"/>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sz w:val="18"/>
                <w:szCs w:val="18"/>
                <w:highlight w:val="yellow"/>
              </w:rPr>
              <w:t>10,000,</w:t>
            </w:r>
            <w:r>
              <w:rPr>
                <w:sz w:val="18"/>
                <w:szCs w:val="18"/>
                <w:highlight w:val="yellow"/>
                <w:lang w:val="en-US" w:eastAsia="en-US" w:bidi="en-US"/>
              </w:rPr>
              <w:t>000.</w:t>
            </w:r>
            <w:r>
              <w:rPr>
                <w:sz w:val="18"/>
                <w:szCs w:val="18"/>
                <w:highlight w:val="yellow"/>
              </w:rPr>
              <w:t>00</w:t>
            </w:r>
          </w:p>
        </w:tc>
      </w:tr>
      <w:tr>
        <w:tblPrEx>
          <w:tblCellMar>
            <w:top w:w="0" w:type="dxa"/>
            <w:left w:w="51" w:type="dxa"/>
            <w:bottom w:w="0" w:type="dxa"/>
            <w:right w:w="51" w:type="dxa"/>
          </w:tblCellMar>
        </w:tblPrEx>
        <w:trPr>
          <w:trHeight w:val="270" w:hRule="exact"/>
          <w:jc w:val="center"/>
        </w:trPr>
        <w:tc>
          <w:tcPr>
            <w:tcW w:w="2552" w:type="dxa"/>
            <w:gridSpan w:val="2"/>
            <w:vMerge w:val="continue"/>
            <w:tcBorders>
              <w:left w:val="single" w:color="auto" w:sz="4" w:space="0"/>
            </w:tcBorders>
            <w:shd w:val="clear" w:color="auto" w:fill="FFFFFF"/>
            <w:vAlign w:val="center"/>
          </w:tcPr>
          <w:p>
            <w:pPr>
              <w:adjustRightInd w:val="0"/>
              <w:snapToGrid w:val="0"/>
              <w:spacing w:line="276" w:lineRule="auto"/>
              <w:jc w:val="center"/>
              <w:rPr>
                <w:sz w:val="18"/>
                <w:szCs w:val="18"/>
                <w:highlight w:val="yellow"/>
              </w:rPr>
            </w:pPr>
          </w:p>
        </w:tc>
        <w:tc>
          <w:tcPr>
            <w:tcW w:w="4190" w:type="dxa"/>
            <w:gridSpan w:val="4"/>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sz w:val="18"/>
                <w:szCs w:val="18"/>
                <w:highlight w:val="yellow"/>
              </w:rPr>
              <w:t>每人身故/伤残</w:t>
            </w:r>
          </w:p>
        </w:tc>
        <w:tc>
          <w:tcPr>
            <w:tcW w:w="2793" w:type="dxa"/>
            <w:gridSpan w:val="2"/>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sz w:val="18"/>
                <w:szCs w:val="18"/>
                <w:highlight w:val="yellow"/>
                <w:lang w:val="en-US" w:eastAsia="en-US" w:bidi="en-US"/>
              </w:rPr>
              <w:t>100,000.</w:t>
            </w:r>
            <w:r>
              <w:rPr>
                <w:sz w:val="18"/>
                <w:szCs w:val="18"/>
                <w:highlight w:val="yellow"/>
              </w:rPr>
              <w:t>00</w:t>
            </w:r>
          </w:p>
        </w:tc>
      </w:tr>
      <w:tr>
        <w:tblPrEx>
          <w:tblCellMar>
            <w:top w:w="0" w:type="dxa"/>
            <w:left w:w="51" w:type="dxa"/>
            <w:bottom w:w="0" w:type="dxa"/>
            <w:right w:w="51" w:type="dxa"/>
          </w:tblCellMar>
        </w:tblPrEx>
        <w:trPr>
          <w:trHeight w:val="270" w:hRule="exact"/>
          <w:jc w:val="center"/>
        </w:trPr>
        <w:tc>
          <w:tcPr>
            <w:tcW w:w="2552" w:type="dxa"/>
            <w:gridSpan w:val="2"/>
            <w:vMerge w:val="continue"/>
            <w:tcBorders>
              <w:left w:val="single" w:color="auto" w:sz="4" w:space="0"/>
            </w:tcBorders>
            <w:shd w:val="clear" w:color="auto" w:fill="FFFFFF"/>
            <w:vAlign w:val="center"/>
          </w:tcPr>
          <w:p>
            <w:pPr>
              <w:adjustRightInd w:val="0"/>
              <w:snapToGrid w:val="0"/>
              <w:spacing w:line="276" w:lineRule="auto"/>
              <w:jc w:val="center"/>
              <w:rPr>
                <w:sz w:val="18"/>
                <w:szCs w:val="18"/>
                <w:highlight w:val="yellow"/>
              </w:rPr>
            </w:pPr>
          </w:p>
        </w:tc>
        <w:tc>
          <w:tcPr>
            <w:tcW w:w="4190" w:type="dxa"/>
            <w:gridSpan w:val="4"/>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sz w:val="18"/>
                <w:szCs w:val="18"/>
                <w:highlight w:val="yellow"/>
              </w:rPr>
              <w:t>每人医疗费用</w:t>
            </w:r>
          </w:p>
        </w:tc>
        <w:tc>
          <w:tcPr>
            <w:tcW w:w="2793" w:type="dxa"/>
            <w:gridSpan w:val="2"/>
            <w:tcBorders>
              <w:top w:val="single" w:color="auto" w:sz="4" w:space="0"/>
              <w:left w:val="single" w:color="auto" w:sz="4" w:space="0"/>
              <w:right w:val="single" w:color="auto" w:sz="4" w:space="0"/>
            </w:tcBorders>
            <w:shd w:val="clear" w:color="auto" w:fill="FFFFFF"/>
            <w:vAlign w:val="center"/>
          </w:tcPr>
          <w:p>
            <w:pPr>
              <w:pStyle w:val="13"/>
              <w:adjustRightInd w:val="0"/>
              <w:snapToGrid w:val="0"/>
              <w:spacing w:line="276" w:lineRule="auto"/>
              <w:ind w:firstLine="0"/>
              <w:jc w:val="center"/>
              <w:rPr>
                <w:sz w:val="18"/>
                <w:szCs w:val="18"/>
                <w:highlight w:val="yellow"/>
              </w:rPr>
            </w:pPr>
            <w:r>
              <w:rPr>
                <w:sz w:val="18"/>
                <w:szCs w:val="18"/>
                <w:highlight w:val="yellow"/>
                <w:lang w:val="en-US" w:eastAsia="en-US" w:bidi="en-US"/>
              </w:rPr>
              <w:t>100,000.</w:t>
            </w:r>
            <w:r>
              <w:rPr>
                <w:sz w:val="18"/>
                <w:szCs w:val="18"/>
                <w:highlight w:val="yellow"/>
              </w:rPr>
              <w:t>00</w:t>
            </w:r>
          </w:p>
        </w:tc>
      </w:tr>
      <w:tr>
        <w:tblPrEx>
          <w:tblCellMar>
            <w:top w:w="0" w:type="dxa"/>
            <w:left w:w="51" w:type="dxa"/>
            <w:bottom w:w="0" w:type="dxa"/>
            <w:right w:w="51" w:type="dxa"/>
          </w:tblCellMar>
        </w:tblPrEx>
        <w:trPr>
          <w:trHeight w:val="290" w:hRule="exact"/>
          <w:jc w:val="center"/>
        </w:trPr>
        <w:tc>
          <w:tcPr>
            <w:tcW w:w="2552" w:type="dxa"/>
            <w:gridSpan w:val="2"/>
            <w:tcBorders>
              <w:top w:val="single" w:color="auto" w:sz="4" w:space="0"/>
              <w:left w:val="single" w:color="auto" w:sz="4" w:space="0"/>
            </w:tcBorders>
            <w:shd w:val="clear" w:color="auto" w:fill="FFFFFF"/>
            <w:vAlign w:val="center"/>
          </w:tcPr>
          <w:p>
            <w:pPr>
              <w:pStyle w:val="13"/>
              <w:adjustRightInd w:val="0"/>
              <w:snapToGrid w:val="0"/>
              <w:spacing w:line="276" w:lineRule="auto"/>
              <w:ind w:firstLine="0"/>
              <w:jc w:val="center"/>
              <w:rPr>
                <w:rFonts w:ascii="黑体" w:hAnsi="黑体" w:eastAsia="黑体"/>
                <w:sz w:val="18"/>
                <w:szCs w:val="18"/>
              </w:rPr>
            </w:pPr>
            <w:r>
              <w:rPr>
                <w:rFonts w:ascii="黑体" w:hAnsi="黑体" w:eastAsia="黑体"/>
                <w:sz w:val="18"/>
                <w:szCs w:val="18"/>
              </w:rPr>
              <w:t>保险费/年（人民币元）</w:t>
            </w:r>
          </w:p>
        </w:tc>
        <w:tc>
          <w:tcPr>
            <w:tcW w:w="6983" w:type="dxa"/>
            <w:gridSpan w:val="6"/>
            <w:tcBorders>
              <w:top w:val="single" w:color="auto" w:sz="4" w:space="0"/>
              <w:left w:val="single" w:color="auto" w:sz="4" w:space="0"/>
              <w:right w:val="single" w:color="auto" w:sz="4" w:space="0"/>
            </w:tcBorders>
            <w:shd w:val="clear" w:color="auto" w:fill="FFFFFF"/>
            <w:vAlign w:val="center"/>
          </w:tcPr>
          <w:p>
            <w:pPr>
              <w:pStyle w:val="13"/>
              <w:tabs>
                <w:tab w:val="left" w:pos="4130"/>
              </w:tabs>
              <w:adjustRightInd w:val="0"/>
              <w:snapToGrid w:val="0"/>
              <w:spacing w:line="276" w:lineRule="auto"/>
              <w:ind w:firstLine="0"/>
              <w:jc w:val="both"/>
              <w:rPr>
                <w:sz w:val="18"/>
                <w:szCs w:val="18"/>
              </w:rPr>
            </w:pPr>
            <w:r>
              <w:rPr>
                <w:sz w:val="18"/>
                <w:szCs w:val="18"/>
              </w:rPr>
              <w:t>（大写）壹万元整</w:t>
            </w:r>
            <w:r>
              <w:rPr>
                <w:sz w:val="18"/>
                <w:szCs w:val="18"/>
              </w:rPr>
              <w:tab/>
            </w:r>
            <w:r>
              <w:rPr>
                <w:sz w:val="18"/>
                <w:szCs w:val="18"/>
              </w:rPr>
              <w:t>（小写）</w:t>
            </w:r>
            <w:r>
              <w:rPr>
                <w:sz w:val="18"/>
                <w:szCs w:val="18"/>
                <w:lang w:val="en-US" w:eastAsia="zh-CN" w:bidi="en-US"/>
              </w:rPr>
              <w:t>¥10,000.</w:t>
            </w:r>
            <w:r>
              <w:rPr>
                <w:sz w:val="18"/>
                <w:szCs w:val="18"/>
              </w:rPr>
              <w:t>00</w:t>
            </w:r>
          </w:p>
        </w:tc>
      </w:tr>
      <w:tr>
        <w:tblPrEx>
          <w:tblCellMar>
            <w:top w:w="0" w:type="dxa"/>
            <w:left w:w="51" w:type="dxa"/>
            <w:bottom w:w="0" w:type="dxa"/>
            <w:right w:w="51" w:type="dxa"/>
          </w:tblCellMar>
        </w:tblPrEx>
        <w:trPr>
          <w:trHeight w:val="280" w:hRule="exact"/>
          <w:jc w:val="center"/>
        </w:trPr>
        <w:tc>
          <w:tcPr>
            <w:tcW w:w="9535"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pStyle w:val="13"/>
              <w:adjustRightInd w:val="0"/>
              <w:snapToGrid w:val="0"/>
              <w:spacing w:line="276" w:lineRule="auto"/>
              <w:ind w:firstLine="0"/>
              <w:jc w:val="both"/>
              <w:rPr>
                <w:rFonts w:ascii="黑体" w:hAnsi="黑体" w:eastAsia="黑体"/>
                <w:sz w:val="18"/>
                <w:szCs w:val="18"/>
              </w:rPr>
            </w:pPr>
            <w:r>
              <w:rPr>
                <w:rFonts w:ascii="黑体" w:hAnsi="黑体" w:eastAsia="黑体"/>
                <w:sz w:val="18"/>
                <w:szCs w:val="18"/>
              </w:rPr>
              <w:t>保险责任与责任免除详见条款，请特别留意其中以加黑字体显示的责任免除部分内容。</w:t>
            </w:r>
          </w:p>
        </w:tc>
      </w:tr>
    </w:tbl>
    <w:tbl>
      <w:tblPr>
        <w:tblStyle w:val="6"/>
        <w:tblW w:w="9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9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9535" w:type="dxa"/>
          </w:tcPr>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hint="eastAsia" w:ascii="黑体" w:hAnsi="黑体" w:eastAsia="黑体"/>
                <w:sz w:val="18"/>
                <w:szCs w:val="18"/>
                <w:lang w:val="en-US" w:eastAsia="zh-CN"/>
              </w:rPr>
              <w:t>特别约定：</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ascii="黑体" w:hAnsi="黑体" w:eastAsia="黑体"/>
                <w:sz w:val="18"/>
                <w:szCs w:val="18"/>
                <w:lang w:val="en-US" w:eastAsia="zh-CN"/>
              </w:rPr>
              <w:t>1</w:t>
            </w:r>
            <w:r>
              <w:rPr>
                <w:rFonts w:hint="eastAsia" w:ascii="黑体" w:hAnsi="黑体" w:eastAsia="黑体"/>
                <w:sz w:val="18"/>
                <w:szCs w:val="18"/>
                <w:lang w:val="en-US" w:eastAsia="zh-CN"/>
              </w:rPr>
              <w:t>、上述方案仅限于燃气管道商业用户以及新奥项目公司自身商用瓶装用户（需提供新奥客户证明材料，如用气合同等）投保。</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ascii="黑体" w:hAnsi="黑体" w:eastAsia="黑体"/>
                <w:sz w:val="18"/>
                <w:szCs w:val="18"/>
                <w:lang w:val="en-US" w:eastAsia="zh-CN"/>
              </w:rPr>
              <w:t>2</w:t>
            </w:r>
            <w:r>
              <w:rPr>
                <w:rFonts w:hint="eastAsia" w:ascii="黑体" w:hAnsi="黑体" w:eastAsia="黑体"/>
                <w:sz w:val="18"/>
                <w:szCs w:val="18"/>
                <w:lang w:val="en-US" w:eastAsia="zh-CN"/>
              </w:rPr>
              <w:t>、本保险的财产保险标的坐落地址为该燃气用户在燃气公司登记的唯一地址，且房屋建筑结构必须为砖混、钢结构、钢筋混凝土；</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ascii="黑体" w:hAnsi="黑体" w:eastAsia="黑体"/>
                <w:sz w:val="18"/>
                <w:szCs w:val="18"/>
                <w:lang w:val="en-US" w:eastAsia="zh-CN"/>
              </w:rPr>
              <w:t>3</w:t>
            </w:r>
            <w:r>
              <w:rPr>
                <w:rFonts w:hint="eastAsia" w:ascii="黑体" w:hAnsi="黑体" w:eastAsia="黑体"/>
                <w:sz w:val="18"/>
                <w:szCs w:val="18"/>
                <w:lang w:val="en-US" w:eastAsia="zh-CN"/>
              </w:rPr>
              <w:t>、财产损失包括：房屋、室内装修、室内财产，</w:t>
            </w:r>
            <w:r>
              <w:rPr>
                <w:rFonts w:hint="eastAsia" w:ascii="黑体" w:hAnsi="黑体" w:eastAsia="黑体"/>
                <w:strike/>
                <w:color w:val="FF0000"/>
                <w:sz w:val="18"/>
                <w:szCs w:val="18"/>
                <w:lang w:val="en-US" w:eastAsia="zh-CN"/>
              </w:rPr>
              <w:t>按照第一危险方式赔偿；</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trike/>
                <w:color w:val="FF0000"/>
                <w:sz w:val="18"/>
                <w:szCs w:val="18"/>
                <w:lang w:val="en-US" w:eastAsia="zh-CN"/>
              </w:rPr>
            </w:pPr>
            <w:r>
              <w:rPr>
                <w:rFonts w:ascii="黑体" w:hAnsi="黑体" w:eastAsia="黑体"/>
                <w:strike/>
                <w:color w:val="FF0000"/>
                <w:sz w:val="18"/>
                <w:szCs w:val="18"/>
                <w:lang w:val="en-US" w:eastAsia="zh-CN"/>
              </w:rPr>
              <w:t>4</w:t>
            </w:r>
            <w:r>
              <w:rPr>
                <w:rFonts w:hint="eastAsia" w:ascii="黑体" w:hAnsi="黑体" w:eastAsia="黑体"/>
                <w:strike/>
                <w:color w:val="FF0000"/>
                <w:sz w:val="18"/>
                <w:szCs w:val="18"/>
                <w:lang w:val="en-US" w:eastAsia="zh-CN"/>
              </w:rPr>
              <w:t>、本保险扩展火灾、爆炸责任；</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ascii="黑体" w:hAnsi="黑体" w:eastAsia="黑体"/>
                <w:sz w:val="18"/>
                <w:szCs w:val="18"/>
                <w:lang w:val="en-US" w:eastAsia="zh-CN"/>
              </w:rPr>
              <w:t>5</w:t>
            </w:r>
            <w:r>
              <w:rPr>
                <w:rFonts w:hint="eastAsia" w:ascii="黑体" w:hAnsi="黑体" w:eastAsia="黑体"/>
                <w:sz w:val="18"/>
                <w:szCs w:val="18"/>
                <w:lang w:val="en-US" w:eastAsia="zh-CN"/>
              </w:rPr>
              <w:t>、免赔说明：财产损失部分：每次事故绝对免赔额</w:t>
            </w:r>
            <w:r>
              <w:rPr>
                <w:rFonts w:ascii="黑体" w:hAnsi="黑体" w:eastAsia="黑体"/>
                <w:sz w:val="18"/>
                <w:szCs w:val="18"/>
                <w:lang w:val="en-US" w:eastAsia="zh-CN"/>
              </w:rPr>
              <w:t>2000</w:t>
            </w:r>
            <w:r>
              <w:rPr>
                <w:rFonts w:hint="eastAsia" w:ascii="黑体" w:hAnsi="黑体" w:eastAsia="黑体"/>
                <w:sz w:val="18"/>
                <w:szCs w:val="18"/>
                <w:lang w:val="en-US" w:eastAsia="zh-CN"/>
              </w:rPr>
              <w:t>元或损失金额的</w:t>
            </w:r>
            <w:r>
              <w:rPr>
                <w:rFonts w:ascii="黑体" w:hAnsi="黑体" w:eastAsia="黑体"/>
                <w:sz w:val="18"/>
                <w:szCs w:val="18"/>
                <w:lang w:val="en-US" w:eastAsia="zh-CN"/>
              </w:rPr>
              <w:t>10%</w:t>
            </w:r>
            <w:r>
              <w:rPr>
                <w:rFonts w:hint="eastAsia" w:ascii="黑体" w:hAnsi="黑体" w:eastAsia="黑体"/>
                <w:sz w:val="18"/>
                <w:szCs w:val="18"/>
                <w:lang w:val="en-US" w:eastAsia="zh-CN"/>
              </w:rPr>
              <w:t>，以高者为准；第三者责任险部分：第三者财产损失每次事故绝对免赔额</w:t>
            </w:r>
            <w:r>
              <w:rPr>
                <w:rFonts w:ascii="黑体" w:hAnsi="黑体" w:eastAsia="黑体"/>
                <w:sz w:val="18"/>
                <w:szCs w:val="18"/>
                <w:lang w:val="en-US" w:eastAsia="zh-CN"/>
              </w:rPr>
              <w:t>500</w:t>
            </w:r>
            <w:r>
              <w:rPr>
                <w:rFonts w:hint="eastAsia" w:ascii="黑体" w:hAnsi="黑体" w:eastAsia="黑体"/>
                <w:sz w:val="18"/>
                <w:szCs w:val="18"/>
                <w:lang w:val="en-US" w:eastAsia="zh-CN"/>
              </w:rPr>
              <w:t>元，人身伤亡无免赔；</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ascii="黑体" w:hAnsi="黑体" w:eastAsia="黑体"/>
                <w:sz w:val="18"/>
                <w:szCs w:val="18"/>
                <w:lang w:val="en-US" w:eastAsia="zh-CN"/>
              </w:rPr>
              <w:t>6</w:t>
            </w:r>
            <w:r>
              <w:rPr>
                <w:rFonts w:hint="eastAsia" w:ascii="黑体" w:hAnsi="黑体" w:eastAsia="黑体"/>
                <w:sz w:val="18"/>
                <w:szCs w:val="18"/>
                <w:lang w:val="en-US" w:eastAsia="zh-CN"/>
              </w:rPr>
              <w:t>、方案仅限于商业燃气用户，可包括以下行业用户：</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hint="eastAsia" w:ascii="黑体" w:hAnsi="黑体" w:eastAsia="黑体"/>
                <w:sz w:val="18"/>
                <w:szCs w:val="18"/>
                <w:lang w:val="en-US" w:eastAsia="zh-CN"/>
              </w:rPr>
              <w:t>（</w:t>
            </w:r>
            <w:r>
              <w:rPr>
                <w:rFonts w:ascii="黑体" w:hAnsi="黑体" w:eastAsia="黑体"/>
                <w:sz w:val="18"/>
                <w:szCs w:val="18"/>
                <w:lang w:val="en-US" w:eastAsia="zh-CN"/>
              </w:rPr>
              <w:t>1</w:t>
            </w:r>
            <w:r>
              <w:rPr>
                <w:rFonts w:hint="eastAsia" w:ascii="黑体" w:hAnsi="黑体" w:eastAsia="黑体"/>
                <w:sz w:val="18"/>
                <w:szCs w:val="18"/>
                <w:lang w:val="en-US" w:eastAsia="zh-CN"/>
              </w:rPr>
              <w:t>）餐饮业：正餐服务、快餐服务、饮料及冷饮服务；</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hint="eastAsia" w:ascii="黑体" w:hAnsi="黑体" w:eastAsia="黑体"/>
                <w:sz w:val="18"/>
                <w:szCs w:val="18"/>
                <w:lang w:val="en-US" w:eastAsia="zh-CN"/>
              </w:rPr>
              <w:t>（</w:t>
            </w:r>
            <w:r>
              <w:rPr>
                <w:rFonts w:ascii="黑体" w:hAnsi="黑体" w:eastAsia="黑体"/>
                <w:sz w:val="18"/>
                <w:szCs w:val="18"/>
                <w:lang w:val="en-US" w:eastAsia="zh-CN"/>
              </w:rPr>
              <w:t>2</w:t>
            </w:r>
            <w:r>
              <w:rPr>
                <w:rFonts w:hint="eastAsia" w:ascii="黑体" w:hAnsi="黑体" w:eastAsia="黑体"/>
                <w:sz w:val="18"/>
                <w:szCs w:val="18"/>
                <w:lang w:val="en-US" w:eastAsia="zh-CN"/>
              </w:rPr>
              <w:t>）服务业：家庭服务、洗染服务、理发及美容保健、婚姻服务、殡葬服务、摄影扩印服务、汽车摩托车维护与保养、办公设备维修、家用电器修理、诊所；</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hint="eastAsia" w:ascii="黑体" w:hAnsi="黑体" w:eastAsia="黑体"/>
                <w:sz w:val="18"/>
                <w:szCs w:val="18"/>
                <w:lang w:val="en-US" w:eastAsia="zh-CN"/>
              </w:rPr>
              <w:t>（</w:t>
            </w:r>
            <w:r>
              <w:rPr>
                <w:rFonts w:ascii="黑体" w:hAnsi="黑体" w:eastAsia="黑体"/>
                <w:sz w:val="18"/>
                <w:szCs w:val="18"/>
                <w:lang w:val="en-US" w:eastAsia="zh-CN"/>
              </w:rPr>
              <w:t>3</w:t>
            </w:r>
            <w:r>
              <w:rPr>
                <w:rFonts w:hint="eastAsia" w:ascii="黑体" w:hAnsi="黑体" w:eastAsia="黑体"/>
                <w:sz w:val="18"/>
                <w:szCs w:val="18"/>
                <w:lang w:val="en-US" w:eastAsia="zh-CN"/>
              </w:rPr>
              <w:t>）零售业：便利店、食品饮料及烟草零售、服装及日用品零售、文体用品零售、医药及医疗器材零售、五金家具及室内装修材料零售、家用电器及电子产品零售；（不包含批发市场内的零售、批发企业）；</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hint="eastAsia" w:ascii="黑体" w:hAnsi="黑体" w:eastAsia="黑体"/>
                <w:sz w:val="18"/>
                <w:szCs w:val="18"/>
                <w:lang w:val="en-US" w:eastAsia="zh-CN"/>
              </w:rPr>
              <w:t>（</w:t>
            </w:r>
            <w:r>
              <w:rPr>
                <w:rFonts w:ascii="黑体" w:hAnsi="黑体" w:eastAsia="黑体"/>
                <w:sz w:val="18"/>
                <w:szCs w:val="18"/>
                <w:lang w:val="en-US" w:eastAsia="zh-CN"/>
              </w:rPr>
              <w:t>4</w:t>
            </w:r>
            <w:r>
              <w:rPr>
                <w:rFonts w:hint="eastAsia" w:ascii="黑体" w:hAnsi="黑体" w:eastAsia="黑体"/>
                <w:sz w:val="18"/>
                <w:szCs w:val="18"/>
                <w:lang w:val="en-US" w:eastAsia="zh-CN"/>
              </w:rPr>
              <w:t>）政府机关、企事业单位所属食堂。</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ascii="黑体" w:hAnsi="黑体" w:eastAsia="黑体"/>
                <w:sz w:val="18"/>
                <w:szCs w:val="18"/>
                <w:lang w:val="en-US" w:eastAsia="zh-CN"/>
              </w:rPr>
              <w:t>7</w:t>
            </w:r>
            <w:r>
              <w:rPr>
                <w:rFonts w:hint="eastAsia" w:ascii="黑体" w:hAnsi="黑体" w:eastAsia="黑体"/>
                <w:sz w:val="18"/>
                <w:szCs w:val="18"/>
                <w:lang w:val="en-US" w:eastAsia="zh-CN"/>
              </w:rPr>
              <w:t>、保险责任与责任免除详见条款，请特别留意其中以加黑字体显示的责任免除部分内容。</w:t>
            </w:r>
          </w:p>
          <w:p>
            <w:pPr>
              <w:pStyle w:val="11"/>
              <w:tabs>
                <w:tab w:val="left" w:pos="4890"/>
                <w:tab w:val="left" w:leader="underscore" w:pos="5780"/>
                <w:tab w:val="left" w:leader="underscore" w:pos="5970"/>
                <w:tab w:val="left" w:leader="underscore" w:pos="7450"/>
                <w:tab w:val="left" w:leader="underscore" w:pos="9460"/>
                <w:tab w:val="left" w:leader="underscore" w:pos="9650"/>
              </w:tabs>
              <w:adjustRightInd w:val="0"/>
              <w:snapToGrid w:val="0"/>
              <w:spacing w:line="276" w:lineRule="auto"/>
              <w:ind w:firstLine="0"/>
              <w:jc w:val="both"/>
              <w:rPr>
                <w:rFonts w:ascii="黑体" w:hAnsi="黑体" w:eastAsia="黑体"/>
                <w:sz w:val="18"/>
                <w:szCs w:val="18"/>
                <w:lang w:val="en-US" w:eastAsia="zh-CN"/>
              </w:rPr>
            </w:pPr>
            <w:r>
              <w:rPr>
                <w:rFonts w:ascii="黑体" w:hAnsi="黑体" w:eastAsia="黑体"/>
                <w:sz w:val="18"/>
                <w:szCs w:val="18"/>
                <w:lang w:val="en-US" w:eastAsia="zh-CN"/>
              </w:rPr>
              <w:t>8</w:t>
            </w:r>
            <w:r>
              <w:rPr>
                <w:rFonts w:hint="eastAsia" w:ascii="黑体" w:hAnsi="黑体" w:eastAsia="黑体"/>
                <w:sz w:val="18"/>
                <w:szCs w:val="18"/>
                <w:lang w:val="en-US" w:eastAsia="zh-CN"/>
              </w:rPr>
              <w:t>、本公司网页www.epicc.</w:t>
            </w:r>
            <w:r>
              <w:rPr>
                <w:rFonts w:ascii="黑体" w:hAnsi="黑体" w:eastAsia="黑体"/>
                <w:sz w:val="18"/>
                <w:szCs w:val="18"/>
                <w:lang w:val="en-US" w:eastAsia="zh-CN"/>
              </w:rPr>
              <w:t>com</w:t>
            </w:r>
            <w:r>
              <w:rPr>
                <w:rFonts w:hint="eastAsia" w:ascii="黑体" w:hAnsi="黑体" w:eastAsia="黑体"/>
                <w:sz w:val="18"/>
                <w:szCs w:val="18"/>
                <w:lang w:val="en-US" w:eastAsia="zh-CN"/>
              </w:rPr>
              <w:t>.cn、客服电话95518、微信公众号湖南人保财险、营业网点核实保单承保和理赔信息，若对查询结果有异议，可在网站留言、通过客服电话或向营业网点反馈。</w:t>
            </w:r>
          </w:p>
        </w:tc>
      </w:tr>
    </w:tbl>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p>
      <w:pPr>
        <w:pStyle w:val="11"/>
        <w:tabs>
          <w:tab w:val="left" w:pos="4890"/>
          <w:tab w:val="left" w:leader="underscore" w:pos="5780"/>
          <w:tab w:val="left" w:leader="underscore" w:pos="5970"/>
          <w:tab w:val="left" w:leader="underscore" w:pos="7450"/>
          <w:tab w:val="left" w:leader="underscore" w:pos="9460"/>
          <w:tab w:val="left" w:leader="underscore" w:pos="9650"/>
        </w:tabs>
        <w:spacing w:line="222" w:lineRule="exact"/>
        <w:ind w:firstLine="0"/>
        <w:jc w:val="both"/>
        <w:rPr>
          <w:rFonts w:ascii="黑体" w:hAnsi="黑体" w:eastAsia="黑体"/>
          <w:lang w:val="en-US" w:eastAsia="zh-CN"/>
        </w:rPr>
      </w:pPr>
    </w:p>
    <w:sectPr>
      <w:headerReference r:id="rId5" w:type="default"/>
      <w:pgSz w:w="11900" w:h="16840"/>
      <w:pgMar w:top="1990" w:right="976" w:bottom="1990" w:left="1404" w:header="1562" w:footer="1562"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adjustRightInd w:val="0"/>
      <w:jc w:val="left"/>
    </w:pPr>
    <w:r>
      <w:rPr>
        <w:lang w:eastAsia="zh-CN" w:bidi="ar-SA"/>
      </w:rPr>
      <w:drawing>
        <wp:anchor distT="0" distB="0" distL="114300" distR="114300" simplePos="0" relativeHeight="251659264" behindDoc="0" locked="0" layoutInCell="1" allowOverlap="1">
          <wp:simplePos x="0" y="0"/>
          <wp:positionH relativeFrom="column">
            <wp:posOffset>635</wp:posOffset>
          </wp:positionH>
          <wp:positionV relativeFrom="paragraph">
            <wp:posOffset>-177165</wp:posOffset>
          </wp:positionV>
          <wp:extent cx="2421255" cy="231775"/>
          <wp:effectExtent l="0" t="0" r="0" b="0"/>
          <wp:wrapNone/>
          <wp:docPr id="3" name="图片 3" descr="C:\Users\Administrator\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424817" cy="231881"/>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703FD"/>
    <w:rsid w:val="000C367B"/>
    <w:rsid w:val="00153BD1"/>
    <w:rsid w:val="001715C5"/>
    <w:rsid w:val="00171ED3"/>
    <w:rsid w:val="00277316"/>
    <w:rsid w:val="004758BD"/>
    <w:rsid w:val="0058640E"/>
    <w:rsid w:val="006B7B88"/>
    <w:rsid w:val="006C5BEB"/>
    <w:rsid w:val="0073189F"/>
    <w:rsid w:val="00787006"/>
    <w:rsid w:val="00853AC9"/>
    <w:rsid w:val="00A50C32"/>
    <w:rsid w:val="00AE317B"/>
    <w:rsid w:val="00B23965"/>
    <w:rsid w:val="00B54EE2"/>
    <w:rsid w:val="00B92B58"/>
    <w:rsid w:val="00BA0DCE"/>
    <w:rsid w:val="00C25767"/>
    <w:rsid w:val="00CE139E"/>
    <w:rsid w:val="00DB57D3"/>
    <w:rsid w:val="00DF3177"/>
    <w:rsid w:val="00E54F68"/>
    <w:rsid w:val="00E927AD"/>
    <w:rsid w:val="00F17D2B"/>
    <w:rsid w:val="00FC2845"/>
    <w:rsid w:val="014B0177"/>
    <w:rsid w:val="039D294C"/>
    <w:rsid w:val="0496486C"/>
    <w:rsid w:val="04FB6D53"/>
    <w:rsid w:val="0549445E"/>
    <w:rsid w:val="08A51D7E"/>
    <w:rsid w:val="0DDF605D"/>
    <w:rsid w:val="109B29DC"/>
    <w:rsid w:val="16FE3697"/>
    <w:rsid w:val="175D2483"/>
    <w:rsid w:val="1767261B"/>
    <w:rsid w:val="1AEB4275"/>
    <w:rsid w:val="1D380C12"/>
    <w:rsid w:val="1EF03B35"/>
    <w:rsid w:val="1FFB048A"/>
    <w:rsid w:val="20054CDA"/>
    <w:rsid w:val="21985833"/>
    <w:rsid w:val="26902993"/>
    <w:rsid w:val="2C8927A2"/>
    <w:rsid w:val="2EE92DB7"/>
    <w:rsid w:val="307A4BBA"/>
    <w:rsid w:val="321A4DD9"/>
    <w:rsid w:val="34A30C0F"/>
    <w:rsid w:val="34C74854"/>
    <w:rsid w:val="352C5646"/>
    <w:rsid w:val="3972179D"/>
    <w:rsid w:val="3D585024"/>
    <w:rsid w:val="3DD81EEF"/>
    <w:rsid w:val="3E96189E"/>
    <w:rsid w:val="3EF60FC0"/>
    <w:rsid w:val="3FD42491"/>
    <w:rsid w:val="409238FD"/>
    <w:rsid w:val="47581354"/>
    <w:rsid w:val="4D4E727A"/>
    <w:rsid w:val="503D144F"/>
    <w:rsid w:val="5122293D"/>
    <w:rsid w:val="52C563F2"/>
    <w:rsid w:val="52D562BC"/>
    <w:rsid w:val="559643DC"/>
    <w:rsid w:val="56850D93"/>
    <w:rsid w:val="572D720D"/>
    <w:rsid w:val="59FC1FA7"/>
    <w:rsid w:val="5A2458B0"/>
    <w:rsid w:val="5AD40357"/>
    <w:rsid w:val="5BC45278"/>
    <w:rsid w:val="64F23095"/>
    <w:rsid w:val="66570D76"/>
    <w:rsid w:val="6B75330E"/>
    <w:rsid w:val="6C2E2439"/>
    <w:rsid w:val="6CFC7EA4"/>
    <w:rsid w:val="71454CA4"/>
    <w:rsid w:val="72360EB1"/>
    <w:rsid w:val="732B1DE2"/>
    <w:rsid w:val="758B3F5A"/>
    <w:rsid w:val="75CD34D3"/>
    <w:rsid w:val="75E4790C"/>
    <w:rsid w:val="76F063B6"/>
    <w:rsid w:val="77C17CEB"/>
    <w:rsid w:val="77D551D1"/>
    <w:rsid w:val="7B7703E7"/>
    <w:rsid w:val="7BAA0FE3"/>
    <w:rsid w:val="7D4A4B0B"/>
    <w:rsid w:val="7E081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semiHidden/>
    <w:unhideWhenUsed/>
    <w:uiPriority w:val="99"/>
    <w:rPr>
      <w:sz w:val="18"/>
      <w:szCs w:val="18"/>
    </w:rPr>
  </w:style>
  <w:style w:type="paragraph" w:styleId="3">
    <w:name w:val="footer"/>
    <w:basedOn w:val="1"/>
    <w:link w:val="15"/>
    <w:unhideWhenUsed/>
    <w:uiPriority w:val="99"/>
    <w:pPr>
      <w:tabs>
        <w:tab w:val="center" w:pos="4153"/>
        <w:tab w:val="right" w:pos="8306"/>
      </w:tabs>
      <w:snapToGrid w:val="0"/>
    </w:pPr>
    <w:rPr>
      <w:sz w:val="18"/>
      <w:szCs w:val="18"/>
    </w:rPr>
  </w:style>
  <w:style w:type="paragraph" w:styleId="4">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Body text|2_"/>
    <w:basedOn w:val="7"/>
    <w:link w:val="9"/>
    <w:uiPriority w:val="0"/>
    <w:rPr>
      <w:rFonts w:ascii="宋体" w:hAnsi="宋体" w:eastAsia="宋体" w:cs="宋体"/>
      <w:u w:val="none"/>
      <w:shd w:val="clear" w:color="auto" w:fill="auto"/>
      <w:lang w:val="zh-TW" w:eastAsia="zh-TW" w:bidi="zh-TW"/>
    </w:rPr>
  </w:style>
  <w:style w:type="paragraph" w:customStyle="1" w:styleId="9">
    <w:name w:val="Body text|2"/>
    <w:basedOn w:val="1"/>
    <w:link w:val="8"/>
    <w:qFormat/>
    <w:uiPriority w:val="0"/>
    <w:pPr>
      <w:spacing w:before="40" w:after="140"/>
      <w:jc w:val="center"/>
    </w:pPr>
    <w:rPr>
      <w:rFonts w:ascii="宋体" w:hAnsi="宋体" w:eastAsia="宋体" w:cs="宋体"/>
      <w:lang w:val="zh-TW" w:eastAsia="zh-TW" w:bidi="zh-TW"/>
    </w:rPr>
  </w:style>
  <w:style w:type="character" w:customStyle="1" w:styleId="10">
    <w:name w:val="Body text|1_"/>
    <w:basedOn w:val="7"/>
    <w:link w:val="11"/>
    <w:uiPriority w:val="0"/>
    <w:rPr>
      <w:rFonts w:ascii="宋体" w:hAnsi="宋体" w:eastAsia="宋体" w:cs="宋体"/>
      <w:sz w:val="16"/>
      <w:szCs w:val="16"/>
      <w:u w:val="none"/>
      <w:shd w:val="clear" w:color="auto" w:fill="auto"/>
      <w:lang w:val="zh-TW" w:eastAsia="zh-TW" w:bidi="zh-TW"/>
    </w:rPr>
  </w:style>
  <w:style w:type="paragraph" w:customStyle="1" w:styleId="11">
    <w:name w:val="Body text|1"/>
    <w:basedOn w:val="1"/>
    <w:link w:val="10"/>
    <w:uiPriority w:val="0"/>
    <w:pPr>
      <w:spacing w:line="295" w:lineRule="auto"/>
      <w:ind w:firstLine="70"/>
    </w:pPr>
    <w:rPr>
      <w:rFonts w:ascii="宋体" w:hAnsi="宋体" w:eastAsia="宋体" w:cs="宋体"/>
      <w:sz w:val="16"/>
      <w:szCs w:val="16"/>
      <w:lang w:val="zh-TW" w:eastAsia="zh-TW" w:bidi="zh-TW"/>
    </w:rPr>
  </w:style>
  <w:style w:type="character" w:customStyle="1" w:styleId="12">
    <w:name w:val="Other|1_"/>
    <w:basedOn w:val="7"/>
    <w:link w:val="13"/>
    <w:uiPriority w:val="0"/>
    <w:rPr>
      <w:rFonts w:ascii="宋体" w:hAnsi="宋体" w:eastAsia="宋体" w:cs="宋体"/>
      <w:sz w:val="16"/>
      <w:szCs w:val="16"/>
      <w:u w:val="none"/>
      <w:shd w:val="clear" w:color="auto" w:fill="auto"/>
      <w:lang w:val="zh-TW" w:eastAsia="zh-TW" w:bidi="zh-TW"/>
    </w:rPr>
  </w:style>
  <w:style w:type="paragraph" w:customStyle="1" w:styleId="13">
    <w:name w:val="Other|1"/>
    <w:basedOn w:val="1"/>
    <w:link w:val="12"/>
    <w:uiPriority w:val="0"/>
    <w:pPr>
      <w:spacing w:line="295" w:lineRule="auto"/>
      <w:ind w:firstLine="70"/>
    </w:pPr>
    <w:rPr>
      <w:rFonts w:ascii="宋体" w:hAnsi="宋体" w:eastAsia="宋体" w:cs="宋体"/>
      <w:sz w:val="16"/>
      <w:szCs w:val="16"/>
      <w:lang w:val="zh-TW" w:eastAsia="zh-TW" w:bidi="zh-TW"/>
    </w:rPr>
  </w:style>
  <w:style w:type="character" w:customStyle="1" w:styleId="14">
    <w:name w:val="页眉 Char"/>
    <w:basedOn w:val="7"/>
    <w:link w:val="4"/>
    <w:uiPriority w:val="99"/>
    <w:rPr>
      <w:rFonts w:eastAsia="Times New Roman"/>
      <w:color w:val="000000"/>
      <w:sz w:val="18"/>
      <w:szCs w:val="18"/>
    </w:rPr>
  </w:style>
  <w:style w:type="character" w:customStyle="1" w:styleId="15">
    <w:name w:val="页脚 Char"/>
    <w:basedOn w:val="7"/>
    <w:link w:val="3"/>
    <w:uiPriority w:val="99"/>
    <w:rPr>
      <w:rFonts w:eastAsia="Times New Roman"/>
      <w:color w:val="000000"/>
      <w:sz w:val="18"/>
      <w:szCs w:val="18"/>
    </w:rPr>
  </w:style>
  <w:style w:type="character" w:customStyle="1" w:styleId="16">
    <w:name w:val="批注框文本 Char"/>
    <w:basedOn w:val="7"/>
    <w:link w:val="2"/>
    <w:semiHidden/>
    <w:uiPriority w:val="99"/>
    <w:rPr>
      <w:rFonts w:eastAsia="Times New Roman"/>
      <w:color w:val="00000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887</Words>
  <Characters>5057</Characters>
  <Lines>42</Lines>
  <Paragraphs>11</Paragraphs>
  <TotalTime>15</TotalTime>
  <ScaleCrop>false</ScaleCrop>
  <LinksUpToDate>false</LinksUpToDate>
  <CharactersWithSpaces>5933</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2021-03-19T02:22:00Z</dcterms:created>
  <dc:creator>刘旺</dc:creator>
  <cp:lastModifiedBy>西瓜</cp:lastModifiedBy>
  <dcterms:modified xsi:type="dcterms:W3CDTF">2021-06-25T02:20:12Z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14EC7F64702A4D579A370F98EA352028</vt:lpwstr>
  </property>
</Properties>
</file>